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городского округа город Воронеж от 09.08.2013 N 740</w:t>
              <w:br/>
              <w:t xml:space="preserve">"Об утверждении проекта планировки территории микрорайона по ул. Димитрова в городском округе город Воронеж"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23.03.2026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ГОРОДСКОГО ОКРУГА ГОРОД ВОРОНЕЖ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9 августа 2013 г. N 740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ПРОЕКТА ПЛАНИРОВКИ ТЕРРИТОРИИ МИКРОРАЙОНА</w:t>
      </w:r>
    </w:p>
    <w:p>
      <w:pPr>
        <w:pStyle w:val="2"/>
        <w:jc w:val="center"/>
      </w:pPr>
      <w:r>
        <w:rPr>
          <w:sz w:val="20"/>
        </w:rPr>
        <w:t xml:space="preserve">ПО УЛ. ДИМИТРОВА В ГОРОДСКОМ ОКРУГЕ ГОРОД ВОРОНЕЖ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В официальном тексте документа, видимо, допущена опечатка: Федеральный закон "Об общих принципах организации местного самоуправления в Российской Федерации" N 131-ФЗ принят 06.10.2003, а не 16.10.2003.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В соответствии с Градостроительным </w:t>
      </w:r>
      <w:hyperlink w:history="0" r:id="rId8" w:tooltip="&quot;Градостроительный кодекс Российской Федерации&quot; от 29.12.2004 N 190-ФЗ (ред. от 23.07.2013) (с изм. и доп., вступающими в силу с 24.07.2013) ------------ Недействующая редакция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от 29.12.2004 N 190-ФЗ, Федеральным </w:t>
      </w:r>
      <w:hyperlink w:history="0" r:id="rId9" w:tooltip="Федеральный закон от 06.10.2003 N 131-ФЗ (ред. от 07.05.2013, с изм. от 27.06.2013) &quot;Об общих принципах организации местного самоуправления в Российской Федерации&quot; (с изм. и доп., вступающими в силу с 19.05.2013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16.10.2003 N 131-ФЗ "Об общих принципах организации местного самоуправления в Российской Федерации", </w:t>
      </w:r>
      <w:hyperlink w:history="0" r:id="rId10" w:tooltip="Постановление Воронежской городской Думы от 27.10.2004 N 150-I (ред. от 27.03.2013) &quot;Об Уставе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Воронежской городской Думы от 27.10.2004 N 150-I "Об Уставе городского округа город Воронеж", в целях реализации Генерального </w:t>
      </w:r>
      <w:hyperlink w:history="0" r:id="rId11" w:tooltip="Решение Воронежской городской Думы от 19.12.2008 N 422-II (с изм. от 19.05.2010) &quot;Об утверждении Генерального плана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плана</w:t>
        </w:r>
      </w:hyperlink>
      <w:r>
        <w:rPr>
          <w:sz w:val="20"/>
        </w:rPr>
        <w:t xml:space="preserve"> городского округа город Воронеж, утвержденного решением Воронежской городской Думы от 19.12.2008 N 422-II, в связи с исполнением </w:t>
      </w:r>
      <w:hyperlink w:history="0" r:id="rId12" w:tooltip="Постановление Администрации городского округа город Воронеж от 05.05.2011 N 397 &quot;О подготовке проекта планировки территории микрорайона по ул. Димитрова в городском округе город Воронеж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город Воронеж от 05 мая 2011 года N 397 "О подготовке проекта планировки территории микрорайона по ул. Димитрова в городском округе город Воронеж", с учетом заключения от 25.03.2013 о результатах публичных слушаний по проекту планировки территории микрорайона по ул. Димитрова в городском округе город Воронеж, администрация городского округа город Воронеж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Утвердить прилагаемый </w:t>
      </w:r>
      <w:hyperlink w:history="0" w:anchor="P29" w:tooltip="ПРОЕКТ">
        <w:r>
          <w:rPr>
            <w:sz w:val="20"/>
            <w:color w:val="0000ff"/>
          </w:rPr>
          <w:t xml:space="preserve">проект</w:t>
        </w:r>
      </w:hyperlink>
      <w:r>
        <w:rPr>
          <w:sz w:val="20"/>
        </w:rPr>
        <w:t xml:space="preserve"> планировки территории микрорайона по ул. Димитрова в городском округе город Воронеж.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Исполняющий полномочия</w:t>
      </w:r>
    </w:p>
    <w:p>
      <w:pPr>
        <w:pStyle w:val="0"/>
        <w:jc w:val="right"/>
      </w:pPr>
      <w:r>
        <w:rPr>
          <w:sz w:val="20"/>
        </w:rPr>
        <w:t xml:space="preserve">главы администрации</w:t>
      </w:r>
    </w:p>
    <w:p>
      <w:pPr>
        <w:pStyle w:val="0"/>
        <w:jc w:val="right"/>
      </w:pPr>
      <w:r>
        <w:rPr>
          <w:sz w:val="20"/>
        </w:rPr>
        <w:t xml:space="preserve">городского округа город Воронеж</w:t>
      </w:r>
    </w:p>
    <w:p>
      <w:pPr>
        <w:pStyle w:val="0"/>
        <w:jc w:val="right"/>
      </w:pPr>
      <w:r>
        <w:rPr>
          <w:sz w:val="20"/>
        </w:rPr>
        <w:t xml:space="preserve">С.А.КРЮЧКОВ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администрации городского</w:t>
      </w:r>
    </w:p>
    <w:p>
      <w:pPr>
        <w:pStyle w:val="0"/>
        <w:jc w:val="right"/>
      </w:pPr>
      <w:r>
        <w:rPr>
          <w:sz w:val="20"/>
        </w:rPr>
        <w:t xml:space="preserve">округа город Воронеж</w:t>
      </w:r>
    </w:p>
    <w:p>
      <w:pPr>
        <w:pStyle w:val="0"/>
        <w:jc w:val="right"/>
      </w:pPr>
      <w:r>
        <w:rPr>
          <w:sz w:val="20"/>
        </w:rPr>
        <w:t xml:space="preserve">от 09.08.2013 N 740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29" w:name="P29"/>
    <w:bookmarkEnd w:id="29"/>
    <w:p>
      <w:pPr>
        <w:pStyle w:val="2"/>
        <w:jc w:val="center"/>
      </w:pPr>
      <w:r>
        <w:rPr>
          <w:sz w:val="20"/>
        </w:rPr>
        <w:t xml:space="preserve">ПРОЕКТ</w:t>
      </w:r>
    </w:p>
    <w:p>
      <w:pPr>
        <w:pStyle w:val="2"/>
        <w:jc w:val="center"/>
      </w:pPr>
      <w:r>
        <w:rPr>
          <w:sz w:val="20"/>
        </w:rPr>
        <w:t xml:space="preserve">ПЛАНИРОВКИ ТЕРРИТОРИИ МИКРОРАЙОНА ПО УЛ. ДИМИТРОВА</w:t>
      </w:r>
    </w:p>
    <w:p>
      <w:pPr>
        <w:pStyle w:val="2"/>
        <w:jc w:val="center"/>
      </w:pPr>
      <w:r>
        <w:rPr>
          <w:sz w:val="20"/>
        </w:rPr>
        <w:t xml:space="preserve">В ГОРОДСКОМ ОКРУГЕ ГОРОД ВОРОНЕЖ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</w:t>
      </w:r>
      <w:hyperlink w:history="0" w:anchor="P50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размещении объектов капитального строительства и характеристиках планируемого развития территории микрорайона по ул. Димитрова в городском округе город Воронеж (приложение N 1).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Чертеж планировки территории микрорайона по ул. Димитрова в городском округе город Воронеж (приложение N 2 - не приводится).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Руководитель управления</w:t>
      </w:r>
    </w:p>
    <w:p>
      <w:pPr>
        <w:pStyle w:val="0"/>
        <w:jc w:val="right"/>
      </w:pPr>
      <w:r>
        <w:rPr>
          <w:sz w:val="20"/>
        </w:rPr>
        <w:t xml:space="preserve">главного архитектора городского округа</w:t>
      </w:r>
    </w:p>
    <w:p>
      <w:pPr>
        <w:pStyle w:val="0"/>
        <w:jc w:val="right"/>
      </w:pPr>
      <w:r>
        <w:rPr>
          <w:sz w:val="20"/>
        </w:rPr>
        <w:t xml:space="preserve">А.В.ШЕВЕЛЕВ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проекту</w:t>
      </w:r>
    </w:p>
    <w:p>
      <w:pPr>
        <w:pStyle w:val="0"/>
        <w:jc w:val="right"/>
      </w:pPr>
      <w:r>
        <w:rPr>
          <w:sz w:val="20"/>
        </w:rPr>
        <w:t xml:space="preserve">планировки территории</w:t>
      </w:r>
    </w:p>
    <w:p>
      <w:pPr>
        <w:pStyle w:val="0"/>
        <w:jc w:val="right"/>
      </w:pPr>
      <w:r>
        <w:rPr>
          <w:sz w:val="20"/>
        </w:rPr>
        <w:t xml:space="preserve">микрорайона по ул. Димитрова в</w:t>
      </w:r>
    </w:p>
    <w:p>
      <w:pPr>
        <w:pStyle w:val="0"/>
        <w:jc w:val="right"/>
      </w:pPr>
      <w:r>
        <w:rPr>
          <w:sz w:val="20"/>
        </w:rPr>
        <w:t xml:space="preserve">городском округе город Воронеж</w:t>
      </w:r>
    </w:p>
    <w:p>
      <w:pPr>
        <w:pStyle w:val="0"/>
        <w:jc w:val="right"/>
      </w:pPr>
      <w:r>
        <w:rPr>
          <w:sz w:val="20"/>
        </w:rPr>
      </w:r>
    </w:p>
    <w:bookmarkStart w:id="50" w:name="P50"/>
    <w:bookmarkEnd w:id="50"/>
    <w:p>
      <w:pPr>
        <w:pStyle w:val="0"/>
        <w:jc w:val="center"/>
      </w:pPr>
      <w:r>
        <w:rPr>
          <w:sz w:val="20"/>
        </w:rPr>
        <w:t xml:space="preserve">Положение</w:t>
      </w:r>
    </w:p>
    <w:p>
      <w:pPr>
        <w:pStyle w:val="0"/>
        <w:jc w:val="center"/>
      </w:pPr>
      <w:r>
        <w:rPr>
          <w:sz w:val="20"/>
        </w:rPr>
        <w:t xml:space="preserve">о размещении объектов капитального строительства и</w:t>
      </w:r>
    </w:p>
    <w:p>
      <w:pPr>
        <w:pStyle w:val="0"/>
        <w:jc w:val="center"/>
      </w:pPr>
      <w:r>
        <w:rPr>
          <w:sz w:val="20"/>
        </w:rPr>
        <w:t xml:space="preserve">характеристиках планируемого развития территории микрорайона</w:t>
      </w:r>
    </w:p>
    <w:p>
      <w:pPr>
        <w:pStyle w:val="0"/>
        <w:jc w:val="center"/>
      </w:pPr>
      <w:r>
        <w:rPr>
          <w:sz w:val="20"/>
        </w:rPr>
        <w:t xml:space="preserve">по ул. Димитрова в городском округе город Воронеж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center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В официальном тексте документа, видимо, допущена опечатка: постановление администрации городского округа город Воронеж от 05.05.2011 "О подготовке проекта планировки территории микрорайона по ул. Димитрова в городском округе город Воронеж" имеет номер 397, а не 937.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Проект планировки территории микрорайона по ул. Димитрова в городском округе город Воронеж (далее - проект планировки территории, проектируемая территория) разработан для реализации муниципальной адресной </w:t>
      </w:r>
      <w:hyperlink w:history="0" r:id="rId13" w:tooltip="Решение Воронежской городской Думы от 14.07.2010 N 150-III &quot;О муниципальной адресной программе &quot;Снос и реконструкция ветхого многоквартирного жилищного фонда в городском округе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программы</w:t>
        </w:r>
      </w:hyperlink>
      <w:r>
        <w:rPr>
          <w:sz w:val="20"/>
        </w:rPr>
        <w:t xml:space="preserve"> "Снос и реконструкция ветхого многоквартирного жилищного фонда в городском округе город Воронеж", утвержденной решением Воронежской городской Думы от 14.07.2010 N 150-III, на основании </w:t>
      </w:r>
      <w:hyperlink w:history="0" r:id="rId14" w:tooltip="Постановление Администрации городского округа город Воронеж от 05.05.2011 N 397 &quot;О подготовке проекта планировки территории микрорайона по ул. Димитрова в городском округе город Воронеж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город Воронеж от 05.05.2011 N 937 "О подготовке проекта планировки территории микрорайона по ул. Димитрова в городском округе город Воронеж", контракта N 5/УГА от 22.11.2011, Генерального </w:t>
      </w:r>
      <w:hyperlink w:history="0" r:id="rId15" w:tooltip="Решение Воронежской городской Думы от 19.12.2008 N 422-II (с изм. от 19.05.2010) &quot;Об утверждении Генерального плана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плана</w:t>
        </w:r>
      </w:hyperlink>
      <w:r>
        <w:rPr>
          <w:sz w:val="20"/>
        </w:rPr>
        <w:t xml:space="preserve"> городского округа город Воронеж, утвержденного решением Воронежской городской Думы от 19.12.2008 N 422-II "Об утверждении Генерального плана городского округа город Воронеж" (далее - Генеральный план), </w:t>
      </w:r>
      <w:hyperlink w:history="0" r:id="rId16" w:tooltip="Постановление Главы городского округа город Воронеж от 08.06.2009 N 441 &quot;О плане реализации Генерального плана городского округа город Воронеж на период с 2009 по 2011 годы&quot; {КонсультантПлюс}">
        <w:r>
          <w:rPr>
            <w:sz w:val="20"/>
            <w:color w:val="0000ff"/>
          </w:rPr>
          <w:t xml:space="preserve">плана</w:t>
        </w:r>
      </w:hyperlink>
      <w:r>
        <w:rPr>
          <w:sz w:val="20"/>
        </w:rPr>
        <w:t xml:space="preserve"> реализации Генерального плана городского округа город Воронеж на период с 2009 по 2011 годы, утвержденного постановлением главы городского округа город Воронеж от 8 июня 2009 года N 441 "О плане реализации Генерального плана городского округа город Воронеж на период с 2009 по 2011 годы" (далее - План реализации Генерального плана), а также </w:t>
      </w:r>
      <w:hyperlink w:history="0" r:id="rId17" w:tooltip="Решение Воронежской городской Думы от 25.12.2009 N 384-II (ред. от 29.08.2012, с изм. от 20.11.2013) &quot;Об утверждении Правил землепользования и застройки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Правил</w:t>
        </w:r>
      </w:hyperlink>
      <w:r>
        <w:rPr>
          <w:sz w:val="20"/>
        </w:rPr>
        <w:t xml:space="preserve"> землепользования и застройки, утвержденных решением Воронежской городской Думы от 25.12.2009 N 384-II "Об утверждении Правил землепользования и застройки городского округа город Воронеж", в соответствии с требованиями Градостроительного </w:t>
      </w:r>
      <w:hyperlink w:history="0" r:id="rId18" w:tooltip="&quot;Градостроительный кодекс Российской Федерации&quot; от 29.12.2004 N 190-ФЗ (ред. от 23.07.2013) (с изм. и доп., вступающими в силу с 24.07.2013) ------------ Недействующая редакция {КонсультантПлюс}">
        <w:r>
          <w:rPr>
            <w:sz w:val="20"/>
            <w:color w:val="0000ff"/>
          </w:rPr>
          <w:t xml:space="preserve">кодекса</w:t>
        </w:r>
      </w:hyperlink>
      <w:r>
        <w:rPr>
          <w:sz w:val="20"/>
        </w:rPr>
        <w:t xml:space="preserve"> Российской Федерации, иных нормативных правовых актов Российской Федерации, Воронежской области, муниципальных правовых актов городского округа город Воронеж.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документации по планировке территории осуществляется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 планировки территории является основой для разработки проекта межевания территории. Документация по планировке территории является основанием для последующей подготовки проектной документации и осуществления строительства.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Материалы утвержденного проекта планировки являются основой для выноса на местность красных линий, линий регулирования застройки, границ земельных участков, а также должны учитываться при разработке проектов межевания территорий и последующих стадий архитектурно-строительного проектирования и строительства отдельных объектов.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Архитектурно-строительное проектирование осуществляется с учетом положений настоящего проекта планировки территории в соответствии с требованиями технических регламентов, региональных </w:t>
      </w:r>
      <w:hyperlink w:history="0" r:id="rId19" w:tooltip="Приказ Управления архитектуры и градостроительства Воронежской обл. от 17.04.2008 N 9-п (ред. от 13.09.2012) &quot;Об утверждении регионального норматива градостроительного проектирования&quot; ------------ Утратил силу или отменен {КонсультантПлюс}">
        <w:r>
          <w:rPr>
            <w:sz w:val="20"/>
            <w:color w:val="0000ff"/>
          </w:rPr>
          <w:t xml:space="preserve">нормативов</w:t>
        </w:r>
      </w:hyperlink>
      <w:r>
        <w:rPr>
          <w:sz w:val="20"/>
        </w:rPr>
        <w:t xml:space="preserve"> градостроительного проектирования "Планировка жилых, общественно-деловых и рекреационных зон населенных пунктов Воронежской области", утвержденных приказом управления архитектуры и градостроительства Воронежской области от 17 апреля 2008 года N 9-п "Об утверждении регионального норматива градостроительного проектирования" (далее - региональный градостроительный норматив) и местного </w:t>
      </w:r>
      <w:hyperlink w:history="0" r:id="rId20" w:tooltip="Постановление Администрации городского округа город Воронеж от 26.07.2010 N 650 (ред. от 25.12.2012) &quot;Об утверждении местного норматива градостроительного проектирования &quot;Планировка жилых, общественно-деловых и рекреационных зон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норматива</w:t>
        </w:r>
      </w:hyperlink>
      <w:r>
        <w:rPr>
          <w:sz w:val="20"/>
        </w:rPr>
        <w:t xml:space="preserve"> градостроительного проектирования "Планировка жилых, общественно-деловых и рекреационных зон городского округа город Воронеж", утвержденного постановлением администрации городского округа город Воронеж от 26 июля 2010 года N 650 "Об утверждении местного норматива градостроительного проектирования "Планировка жилых, общественно-деловых и рекреационных зон городского округа город Воронеж" (далее - местный градостроительный норматив).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II. Современное использование проектируемой территории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Проектируемая территория микрорайона по ул. Димитрова площадью 27,8 га, расположена в Левобережном районе городского округа город Воронеж, в зоне жилой застройки. На территории расположена смешанная жилая застройка этажностью от 2 до 12 этажей, детские сады находятся на прилегающих территориях см. табл. 4, школы, магазины, парки и объекты соцкультбыта. Общий характер территории определяется сохранностью значительной части исторически сложившейся планировочной структуры, элементов ландшафта и наличием разнообразной по времени, стилю и масштабу застройки. Транспортная связь с городским центром осуществляется по улице Димитрова, через Чернавский мост и далее по улице Степана Разина и по магистральной улице центра - проспекту Революции.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карте градостроительного зонирования планируемая территория включает в себя следующие территориальные зоны:</w:t>
      </w:r>
    </w:p>
    <w:p>
      <w:pPr>
        <w:pStyle w:val="0"/>
        <w:spacing w:before="200" w:lineRule="auto"/>
        <w:ind w:firstLine="540"/>
        <w:jc w:val="both"/>
      </w:pPr>
      <w:hyperlink w:history="0" r:id="rId21" w:tooltip="Решение Воронежской городской Думы от 25.12.2009 N 384-II (ред. от 29.08.2012, с изм. от 20.11.2013) &quot;Об утверждении Правил землепользования и застройки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Ж 7</w:t>
        </w:r>
      </w:hyperlink>
      <w:r>
        <w:rPr>
          <w:sz w:val="20"/>
        </w:rPr>
        <w:t xml:space="preserve"> - зона многоэтажной застройки - выделена для формирования жилых районов многоэтажной застройки с необходимым набором услуг местного значения;</w:t>
      </w:r>
    </w:p>
    <w:p>
      <w:pPr>
        <w:pStyle w:val="0"/>
        <w:spacing w:before="200" w:lineRule="auto"/>
        <w:ind w:firstLine="540"/>
        <w:jc w:val="both"/>
      </w:pPr>
      <w:hyperlink w:history="0" r:id="rId22" w:tooltip="Решение Воронежской городской Думы от 25.12.2009 N 384-II (ред. от 29.08.2012, с изм. от 20.11.2013) &quot;Об утверждении Правил землепользования и застройки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Ж 8</w:t>
        </w:r>
      </w:hyperlink>
      <w:r>
        <w:rPr>
          <w:sz w:val="20"/>
        </w:rPr>
        <w:t xml:space="preserve"> - зона малоэтажной многоквартирной застройки, подлежащей сносу под развитие многоэтажной, - выделена с целью поквартального сноса ветхого малоценного 2 - 3-этажного жилого фонда с заменой его на современное жилье повышенной этажности;</w:t>
      </w:r>
    </w:p>
    <w:p>
      <w:pPr>
        <w:pStyle w:val="0"/>
        <w:spacing w:before="200" w:lineRule="auto"/>
        <w:ind w:firstLine="540"/>
        <w:jc w:val="both"/>
      </w:pPr>
      <w:hyperlink w:history="0" r:id="rId23" w:tooltip="Решение Воронежской городской Думы от 25.12.2009 N 384-II (ред. от 29.08.2012, с изм. от 20.11.2013) &quot;Об утверждении Правил землепользования и застройки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О 2</w:t>
        </w:r>
      </w:hyperlink>
      <w:r>
        <w:rPr>
          <w:sz w:val="20"/>
        </w:rPr>
        <w:t xml:space="preserve"> - зона обслуживания местного значения - выделена для обеспечения условий формирования местных (локальных) центров городских районов и полосных (линейных) центров вдоль улиц с широким спектром коммерческих и обслуживающих функций, ориентированных на удовлетворение повседневных и периодических потребностей населения;</w:t>
      </w:r>
    </w:p>
    <w:p>
      <w:pPr>
        <w:pStyle w:val="0"/>
        <w:spacing w:before="200" w:lineRule="auto"/>
        <w:ind w:firstLine="540"/>
        <w:jc w:val="both"/>
      </w:pPr>
      <w:hyperlink w:history="0" r:id="rId24" w:tooltip="Решение Воронежской городской Думы от 25.12.2009 N 384-II (ред. от 29.08.2012, с изм. от 20.11.2013) &quot;Об утверждении Правил землепользования и застройки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Р 1</w:t>
        </w:r>
      </w:hyperlink>
      <w:r>
        <w:rPr>
          <w:sz w:val="20"/>
        </w:rPr>
        <w:t xml:space="preserve"> - озелененные территории общего пользования, зона выделена для обеспечения правовых условий сохранения и использования земельных участков озеленения в целях проведения досуга населения.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настоящее время Генеральным </w:t>
      </w:r>
      <w:hyperlink w:history="0" r:id="rId25" w:tooltip="Решение Воронежской городской Думы от 19.12.2008 N 422-II (с изм. от 19.05.2010) &quot;Об утверждении Генерального плана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планом</w:t>
        </w:r>
      </w:hyperlink>
      <w:r>
        <w:rPr>
          <w:sz w:val="20"/>
        </w:rPr>
        <w:t xml:space="preserve"> городского округа город Воронеж, утвержденным решением Воронежской городской Думы от 19.12.2008 N 422-II "Об утверждении Генерального плана городского округа город Воронеж", планируемая территория определена как жилая зона многоэтажной застройки этажностью 7 этажей и выше.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схемам территориального планирования Российской Федерации и схемам территориального планирования субъектов Российской Федерации строительство объектов федерального, регионального и местного значения на данной территории не предполагается. Объекты культурного наследия в границах проектируемой территории отсутствуют.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Жилищный фонд на данной территории в основном оборудован водопроводом, канализацией, газом, отоплением и горячим водоснабжением.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соответствии с местным </w:t>
      </w:r>
      <w:hyperlink w:history="0" r:id="rId26" w:tooltip="Постановление Администрации городского округа город Воронеж от 26.07.2010 N 650 (ред. от 25.12.2012) &quot;Об утверждении местного норматива градостроительного проектирования &quot;Планировка жилых, общественно-деловых и рекреационных зон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нормативом</w:t>
        </w:r>
      </w:hyperlink>
      <w:r>
        <w:rPr>
          <w:sz w:val="20"/>
        </w:rPr>
        <w:t xml:space="preserve"> градостроительного проектирования интенсивность использования территории характеризуется плотностью жилой застройки и процентом застроенности территории. На момент подготовки проекта планировки интенсивность использования территории следующая: процент застроенности территории - 14,4%, плотность жилой застройки - 1,84 тыс. кв. м/га.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рассматриваемой территории установлены границы земельных участков, на которых расположены объекты капитального строительства. Земельные участки, предоставленные в муниципальную собственность, - 6,2%, в частную собственность - 2,4%, земли, государственная собственность на которые не разграничена, - 90,6%.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Из объектов социальной инфраструктуры повседневного обслуживания на планируемой территории расположены административные здания, здания магазинов, остальные объекты расположены в пешеходной доступности от планируемой территории или на первых этажах многоквартирных домов. С севера расположена общеобразовательная школа, радиус обслуживания школ (750 м) выдержан. Детских дошкольных учреждений, расположенных в допустимом радиусе обслуживания (500 м), нет.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Комплексная оценка территории позволяет определить ряд направлений по ее развитию: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формирование современной застройки с полным инженерным обеспечением;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уменьшение доли физически и морально устаревшего жилищного фонда послевоенных лет постройки;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повышение эффективности использования городской территории за счет повышения плотности застройки.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III. Основные направления развития</w:t>
      </w:r>
    </w:p>
    <w:p>
      <w:pPr>
        <w:pStyle w:val="0"/>
        <w:jc w:val="center"/>
      </w:pPr>
      <w:r>
        <w:rPr>
          <w:sz w:val="20"/>
        </w:rPr>
        <w:t xml:space="preserve">архитектурно-планировочной и функционально-пространственной</w:t>
      </w:r>
    </w:p>
    <w:p>
      <w:pPr>
        <w:pStyle w:val="0"/>
        <w:jc w:val="center"/>
      </w:pPr>
      <w:r>
        <w:rPr>
          <w:sz w:val="20"/>
        </w:rPr>
        <w:t xml:space="preserve">структуры территории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Основные решения по развитию территории приняты с учетом установленных </w:t>
      </w:r>
      <w:hyperlink w:history="0" r:id="rId27" w:tooltip="Решение Воронежской городской Думы от 25.12.2009 N 384-II (ред. от 29.08.2012, с изм. от 20.11.2013) &quot;Об утверждении Правил землепользования и застройки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землепользования и застройки ограничений использования земельных участков и объектов капитального строительства, а именно техногенных факторов - зона воздушных подходов аэродромов.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письму ОАО "ВАСО" N 136 от 10.04.2012: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квартале, ограниченном улицами Димитрова, Обручева, Окружной, Уточкина, строительство жилых зданий запрещено, а высота нежилых не должна превышать 4 метра от уровня земли;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квартале, ограниченном улицами Димитрова, Уточкина, Окружной, Клинской, высота жилых и нежилых зданий не должна превышать 6 - 12 метров в зависимости от оси удаления посадочного курса;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квартале, ограниченном улицами Димитрова, Клинской, Окружной, Ржевской, высота жилых и нежилых зданий не должна превышать 12 - 36 метров в зависимости от оси удаления посадочного курса;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квартале, ограниченном улицами Димитрова, Витебской, Калачеевской, высота жилых и нежилых зданий не должна превышать 50 метров от уровня земли.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Развитие планируемой территории возможно за счет реконструкции (сноса) устаревшего жилого фонда, повышения плотности застройки и строительства современной застройки с полным инженерным обеспечением. Частично данная жилая застройка вошла в муниципальную адресную </w:t>
      </w:r>
      <w:hyperlink w:history="0" r:id="rId28" w:tooltip="Решение Воронежской городской Думы от 14.07.2010 N 150-III &quot;О муниципальной адресной программе &quot;Снос и реконструкция ветхого многоквартирного жилищного фонда в городском округе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программу</w:t>
        </w:r>
      </w:hyperlink>
      <w:r>
        <w:rPr>
          <w:sz w:val="20"/>
        </w:rPr>
        <w:t xml:space="preserve"> "Снос и реконструкция ветхого многоквартирного жилищного фонда в городском округе город Воронеж", утвержденную решением Воронежской городской Думы от 14 июля 2010 года N 150-III. Планируемый срок начала реализации данной </w:t>
      </w:r>
      <w:hyperlink w:history="0" r:id="rId29" w:tooltip="Решение Воронежской городской Думы от 14.07.2010 N 150-III &quot;О муниципальной адресной программе &quot;Снос и реконструкция ветхого многоквартирного жилищного фонда в городском округе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программы</w:t>
        </w:r>
      </w:hyperlink>
      <w:r>
        <w:rPr>
          <w:sz w:val="20"/>
        </w:rPr>
        <w:t xml:space="preserve"> - 2011 - 2012 годы. В данную </w:t>
      </w:r>
      <w:hyperlink w:history="0" r:id="rId30" w:tooltip="Решение Воронежской городской Думы от 14.07.2010 N 150-III &quot;О муниципальной адресной программе &quot;Снос и реконструкция ветхого многоквартирного жилищного фонда в городском округе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программу</w:t>
        </w:r>
      </w:hyperlink>
      <w:r>
        <w:rPr>
          <w:sz w:val="20"/>
        </w:rPr>
        <w:t xml:space="preserve"> вошел жилой квартал ограниченный улицами Димитрова, Витебской, Калачеевской. В квартале сносятся 2-этажные жилые дома по ул. Димитрова, 145, ул. Витебской, 2, ул. Калачеевской, 1 и ул. Калачеевской, 3. Остальные 2-этажные дома, не вошедшие в </w:t>
      </w:r>
      <w:hyperlink w:history="0" r:id="rId31" w:tooltip="Решение Воронежской городской Думы от 14.07.2010 N 150-III &quot;О муниципальной адресной программе &quot;Снос и реконструкция ветхого многоквартирного жилищного фонда в городском округе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программу</w:t>
        </w:r>
      </w:hyperlink>
      <w:r>
        <w:rPr>
          <w:sz w:val="20"/>
        </w:rPr>
        <w:t xml:space="preserve">, также являются ветхим жилым фондом и подлежат сносу и расселению.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Общая площадь реконструируемых территорий под жилищное строительство составит 6,6 га. Снос малоэтажной многоквартирной жилой застройки, находящейся в частной собственности, осуществляется путем выкупа земельных участков и объектов недвижимости, предоставленных в собственность и заключении договоров о предоставлении жилья взамен сносимого. Убыль существующего жилищного фонда на реконструируемых территориях предполагается в объеме 16275 кв. м общей жилой площади. В условиях реконструкции существующей застройки плотность застройки допускается повышать, но не более чем на 30% при соблюдении санитарно-гигиенических и противопожарных норм.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Структуру территории жилых кварталов составят: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зона размещения жилой застройки средней этажности (застроенная территория);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зона размещения многоэтажной жилой застройки (застроенная территория);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зона размещения зеленых насаждений общего пользования (существующая территория);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зона размещения объектов среднего (полного) общего образования (застроенная территория);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зона размещения объектов административно-делового и общественного назначения (застроенная территория);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зона коммунально-бытовая (застроенная территория);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зона планируемого размещения объектов культурно-бытового и общественного назначения;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зона планируемого размещения мало- и среднеэтажной застройки;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зона планируемого размещения многоэтажной застройки;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зона планируемого размещения крытых физкультурно-спортивных сооружений;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зона планируемого размещения озелененных территорий общего пользования и спортивных сооружений;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зона планируемого размещения детских дошкольных учреждений.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 планировки территории представлен шестью элементами планировочной структуры - жилыми кварталами: 1-й элемент квартал площадью 3,65 га, ограниченный улицами Обручева, Окружной, Уточкина, Димитрова; 2-й элемент - квартал площадью 3,01 га, ограниченный улицами Окружной, Уточкина, Димитрова, Клинской; 3-й элемент - квартал, площадью 6,45 га, ограниченный улицами Димитрова, Клинской, Уточкина, Ржевской; 4-й элемент - квартал площадью 1,68 га, ограниченный улицами Димитрова, Ржевской, пер. Чаплыгина, Витебской; 5-й элемент - квартал площадью 1,67 га, ограниченный улицами Димитрова, Витебская, пер. Челябинский, ул. Калачеевская; 6-й элемент планировочной структуры площадью 5,08 га включает в себя земельные участки, фактически занимаемые пятью многоквартирными 2-этажными домами по ул. Окружной и в парке Мостостроителей.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реконструируемой территории площадью 6,6 га под многоквартирную застройку (2, 3, 5-й элементы) планируется строительство мало-, средне- и многоэтажной многоквартирной застройки этажностью 2 - 3 - 4 - 5 - 6 - 7 - 8 - 9 - 12 - 16 этажей, площадью застройки 17740 кв. м (26,8% застроенности территории участка). Общая площадь жилой застройки (фонд) нового строительства составит 91340 кв. м, общая площадь квартир составит 68506 кв. м, с учетом жилищной обеспеченности 30 кв. м/чел. население нового жилого фонда составит 2284 человека, количество квартир - 1106. Плотность нового жилого фонда на реконструируемых территориях - 13,839 тыс. кв. м/га.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Проектом планировки определена очередность строительства: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1-я очередь - 5-й элемент планировочной структуры - квартал, ограниченный улицами Димитрова, Витебской, пер. Челябинским, ул. Калачеевской;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2-я очередь строительства - 3-й элемент планировочной структуры - квартал, ограниченный улицами Димитрова, Клинской, Уточкина, Ржевской;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3-я очередь строительства - 2-й элемент планировочной структуры - квартал, ограниченный улицами Окружной, Уточкина, Димитрова, Клинской;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4-я очередь строительства - 2-й и 6-й элементы планировочной структуры - кварталы, ограниченные улицами Обручева, Окружной, Уточкина, Димитрова.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планируемой территории проектом планировки предусмотрено строительство встроенно-пристроенного детского дошкольного учреждения вместимостью 140 мест на земельном участке площадью 0,3858 га по ул. Калачеевской и отдельно стоящего детского дошкольного учреждения вместимостью 155 мест на земельном участке площадью 0,4126 га по ул. Окружной, что соответствует требованиям, установленным к земельным участкам для детских садов (дошкольных образовательных учреждений).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Расчет по обеспечению населения квартала объектами культурно-бытового назначения повседневного обслуживания, выполненный в соответствии с местным </w:t>
      </w:r>
      <w:hyperlink w:history="0" r:id="rId32" w:tooltip="Постановление Администрации городского округа город Воронеж от 26.07.2010 N 650 (ред. от 25.12.2012) &quot;Об утверждении местного норматива градостроительного проектирования &quot;Планировка жилых, общественно-деловых и рекреационных зон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нормативом</w:t>
        </w:r>
      </w:hyperlink>
      <w:r>
        <w:rPr>
          <w:sz w:val="20"/>
        </w:rPr>
        <w:t xml:space="preserve"> градостроительного проектирования, приводится в </w:t>
      </w:r>
      <w:hyperlink w:history="0" w:anchor="P119" w:tooltip="Таблица N 1">
        <w:r>
          <w:rPr>
            <w:sz w:val="20"/>
            <w:color w:val="0000ff"/>
          </w:rPr>
          <w:t xml:space="preserve">таблице N 1</w:t>
        </w:r>
      </w:hyperlink>
      <w:r>
        <w:rPr>
          <w:sz w:val="20"/>
        </w:rPr>
        <w:t xml:space="preserve">.</w:t>
      </w:r>
    </w:p>
    <w:p>
      <w:pPr>
        <w:pStyle w:val="0"/>
        <w:jc w:val="right"/>
      </w:pPr>
      <w:r>
        <w:rPr>
          <w:sz w:val="20"/>
        </w:rPr>
      </w:r>
    </w:p>
    <w:bookmarkStart w:id="119" w:name="P119"/>
    <w:bookmarkEnd w:id="119"/>
    <w:p>
      <w:pPr>
        <w:pStyle w:val="0"/>
        <w:outlineLvl w:val="3"/>
        <w:jc w:val="right"/>
      </w:pPr>
      <w:r>
        <w:rPr>
          <w:sz w:val="20"/>
        </w:rPr>
        <w:t xml:space="preserve">Таблица N 1</w:t>
      </w:r>
    </w:p>
    <w:p>
      <w:pPr>
        <w:pStyle w:val="0"/>
        <w:jc w:val="right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75" w:type="dxa"/>
          <w:left w:w="40" w:type="dxa"/>
          <w:bottom w:w="75" w:type="dxa"/>
          <w:right w:w="40" w:type="dxa"/>
        </w:tblCellMar>
      </w:tblPr>
      <w:tblGrid>
        <w:gridCol w:w="480"/>
        <w:gridCol w:w="2640"/>
        <w:gridCol w:w="2040"/>
        <w:gridCol w:w="1320"/>
        <w:gridCol w:w="1920"/>
        <w:gridCol w:w="1440"/>
      </w:tblGrid>
      <w:tr>
        <w:trPr>
          <w:trHeight w:val="246" w:hRule="atLeast"/>
        </w:trPr>
        <w:tc>
          <w:tcPr>
            <w:tcW w:w="600" w:type="dxa"/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N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п/п</w:t>
            </w:r>
          </w:p>
        </w:tc>
        <w:tc>
          <w:tcPr>
            <w:tcW w:w="2760" w:type="dxa"/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Предприятия и 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   учреждения   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  повседневного 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  обслуживания     </w:t>
            </w:r>
          </w:p>
        </w:tc>
        <w:tc>
          <w:tcPr>
            <w:tcW w:w="2160" w:type="dxa"/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Минимальная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обеспеченность </w:t>
            </w:r>
          </w:p>
        </w:tc>
        <w:tc>
          <w:tcPr>
            <w:tcW w:w="1440" w:type="dxa"/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Расчетные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показатели</w:t>
            </w:r>
          </w:p>
        </w:tc>
        <w:tc>
          <w:tcPr>
            <w:tcW w:w="2040" w:type="dxa"/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Планируемые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показатели   </w:t>
            </w:r>
          </w:p>
        </w:tc>
        <w:tc>
          <w:tcPr>
            <w:tcW w:w="1560" w:type="dxa"/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Площадь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участка, га</w:t>
            </w:r>
          </w:p>
        </w:tc>
      </w:tr>
      <w:tr>
        <w:trPr>
          <w:trHeight w:val="246" w:hRule="atLeast"/>
        </w:trPr>
        <w:tc>
          <w:tcPr>
            <w:tcW w:w="6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1 </w:t>
            </w:r>
          </w:p>
        </w:tc>
        <w:tc>
          <w:tcPr>
            <w:tcW w:w="27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2          </w:t>
            </w: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3       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4     </w:t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5       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6     </w:t>
            </w:r>
          </w:p>
        </w:tc>
      </w:tr>
      <w:tr>
        <w:trPr>
          <w:trHeight w:val="246" w:hRule="atLeast"/>
        </w:trPr>
        <w:tc>
          <w:tcPr>
            <w:tcW w:w="6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1 </w:t>
            </w:r>
          </w:p>
        </w:tc>
        <w:tc>
          <w:tcPr>
            <w:tcW w:w="27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Детские дошкольные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учреждения           </w:t>
            </w: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90 мест на 1000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  жителей    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292 места </w:t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295 мест    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0,7984   </w:t>
            </w:r>
          </w:p>
        </w:tc>
      </w:tr>
      <w:tr>
        <w:trPr>
          <w:trHeight w:val="246" w:hRule="atLeast"/>
        </w:trPr>
        <w:tc>
          <w:tcPr>
            <w:tcW w:w="6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2 </w:t>
            </w:r>
          </w:p>
        </w:tc>
        <w:tc>
          <w:tcPr>
            <w:tcW w:w="27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Общеобразовательные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школы                </w:t>
            </w: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135 мест на 1000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  жителей    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438 мест </w:t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530 мест в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существующей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школе по ул.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Окружной, 3  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1,12    </w:t>
            </w:r>
          </w:p>
        </w:tc>
      </w:tr>
      <w:tr>
        <w:trPr>
          <w:trHeight w:val="246" w:hRule="atLeast"/>
        </w:trPr>
        <w:tc>
          <w:tcPr>
            <w:tcW w:w="6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3 </w:t>
            </w:r>
          </w:p>
        </w:tc>
        <w:tc>
          <w:tcPr>
            <w:tcW w:w="27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Продовольственные 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магазины             </w:t>
            </w: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70 кв. м 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торговой площади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на 1000 жит. 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227 кв. м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торговой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площади  </w:t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817 кв. м общей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  площади 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 (торгово-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развлекательный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  центр)     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0,5    </w:t>
            </w:r>
          </w:p>
        </w:tc>
      </w:tr>
      <w:tr>
        <w:trPr>
          <w:trHeight w:val="246" w:hRule="atLeast"/>
        </w:trPr>
        <w:tc>
          <w:tcPr>
            <w:tcW w:w="6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4 </w:t>
            </w:r>
          </w:p>
        </w:tc>
        <w:tc>
          <w:tcPr>
            <w:tcW w:w="27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Промтоварные магазины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товаров первой    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необходимости        </w:t>
            </w: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30 кв. м 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торговой площади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на 1000 жит. 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97 кв. м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торговой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площади  </w:t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1480 кв. м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общей площади 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0,5    </w:t>
            </w:r>
          </w:p>
        </w:tc>
      </w:tr>
      <w:tr>
        <w:trPr>
          <w:trHeight w:val="246" w:hRule="atLeast"/>
        </w:trPr>
        <w:tc>
          <w:tcPr>
            <w:tcW w:w="6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5 </w:t>
            </w:r>
          </w:p>
        </w:tc>
        <w:tc>
          <w:tcPr>
            <w:tcW w:w="27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Приемный пункт    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прачечной, химчистки </w:t>
            </w: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1 объект на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жилую группу 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1 объект </w:t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1 объект    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На первых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этажах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жилых домов</w:t>
            </w:r>
          </w:p>
        </w:tc>
      </w:tr>
      <w:tr>
        <w:trPr>
          <w:trHeight w:val="246" w:hRule="atLeast"/>
        </w:trPr>
        <w:tc>
          <w:tcPr>
            <w:tcW w:w="6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6 </w:t>
            </w:r>
          </w:p>
        </w:tc>
        <w:tc>
          <w:tcPr>
            <w:tcW w:w="27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Мастерская бытового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обслуживания         </w:t>
            </w: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2 рабочих места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на 1000 жителей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6 рабочих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 мест   </w:t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6 рабочих мест 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На первых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этажах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жилых домов</w:t>
            </w:r>
          </w:p>
        </w:tc>
      </w:tr>
      <w:tr>
        <w:trPr>
          <w:trHeight w:val="246" w:hRule="atLeast"/>
        </w:trPr>
        <w:tc>
          <w:tcPr>
            <w:tcW w:w="6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7 </w:t>
            </w:r>
          </w:p>
        </w:tc>
        <w:tc>
          <w:tcPr>
            <w:tcW w:w="27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Аптечный пункт       </w:t>
            </w: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1 объект на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жилую группу 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1 объект </w:t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1 объект    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На первых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этажах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жилых домов</w:t>
            </w:r>
          </w:p>
        </w:tc>
      </w:tr>
      <w:tr>
        <w:trPr>
          <w:trHeight w:val="246" w:hRule="atLeast"/>
        </w:trPr>
        <w:tc>
          <w:tcPr>
            <w:tcW w:w="6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8 </w:t>
            </w:r>
          </w:p>
        </w:tc>
        <w:tc>
          <w:tcPr>
            <w:tcW w:w="27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Пункт охраны порядка </w:t>
            </w: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10 кв. м общей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площади на жилую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   группу    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10 кв. м </w:t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10 кв. м    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В радиусе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доступности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  на  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прилегающей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территории </w:t>
            </w:r>
          </w:p>
        </w:tc>
      </w:tr>
      <w:tr>
        <w:trPr>
          <w:trHeight w:val="246" w:hRule="atLeast"/>
        </w:trPr>
        <w:tc>
          <w:tcPr>
            <w:tcW w:w="6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9 </w:t>
            </w:r>
          </w:p>
        </w:tc>
        <w:tc>
          <w:tcPr>
            <w:tcW w:w="27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Спортивно-тренажерный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зал                  </w:t>
            </w: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30 кв. м общей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площади на 1000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  жителей    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97 кв. м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общей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площади  </w:t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2115 кв. м   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0,72    </w:t>
            </w:r>
          </w:p>
        </w:tc>
      </w:tr>
      <w:tr>
        <w:trPr>
          <w:trHeight w:val="246" w:hRule="atLeast"/>
        </w:trPr>
        <w:tc>
          <w:tcPr>
            <w:tcW w:w="6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7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Предприятия       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общественного питания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(кафе)               </w:t>
            </w:r>
          </w:p>
        </w:tc>
        <w:tc>
          <w:tcPr>
            <w:tcW w:w="21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8 мест на 1000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  жителей    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26 мест  </w:t>
            </w:r>
          </w:p>
        </w:tc>
        <w:tc>
          <w:tcPr>
            <w:tcW w:w="20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170 мест    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0,44    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Проектом планировки определена площадь территории озеленения, равная 7,01 га, что составляет 25,2% от территории квартала. В площадь озеленения вошли территории общего пользования парк Мостостроителей, бульвар по ул. Димитрова и скверы: Витебский, Бродского, а также широкие полосы зеленых насаждений, проходящие по основным пешеходным путям, - свяжут жилую застройку с зонами отдыха, торговли и культурными центрами.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Показатели по застройке приняты из укрупненных расчетов. Данные значения будут скорректированы при разработке индивидуальных проектов зданий и сооружений. Каждый индивидуальный проект должен пройти согласование в установленном порядке.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IV. Основные направления инженерной подготовки территории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Рельеф на территории квартала спокойный, с небольшим уклоном в западную сторону. Организация рельефа территории осуществляется с учетом существующих инженерных сетей, естественного отвода поверхностных вод и минимального объема земляных работ.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составлении схемы вертикальной планировки определяются отметки существующего рельефа и проектные отметки в точках пересечения осей улиц и в местах резкого изменения рельефа, закладываются проектные продольные уклоны. Величина уклонов в среднем 4 - 5%, в пределах, допустимых по СНиП 2.07.01-89*.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Планируемая территория не требует специальной инженерной подготовки и имеет благоприятные условия для строительства. При дальнейших стадиях проектирования необходимо проводить дополнительные инженерно-геологические изыскания и детальную проработку вертикальной планировки территорий с учетом обеспечения поверхностного стока с них на прилегающие улицы.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V. Основные направления развития инженерно-технического</w:t>
      </w:r>
    </w:p>
    <w:p>
      <w:pPr>
        <w:pStyle w:val="0"/>
        <w:jc w:val="center"/>
      </w:pPr>
      <w:r>
        <w:rPr>
          <w:sz w:val="20"/>
        </w:rPr>
        <w:t xml:space="preserve">обеспечения территории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Решения по развитию инженерной инфраструктуры в границах проекта планировки территории приняты с учетом общей схемы развития объектов инженерной инфраструктуры, утвержденной в составе Генерального </w:t>
      </w:r>
      <w:hyperlink w:history="0" r:id="rId33" w:tooltip="Решение Воронежской городской Думы от 19.12.2008 N 422-II (с изм. от 19.05.2010) &quot;Об утверждении Генерального плана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плана</w:t>
        </w:r>
      </w:hyperlink>
      <w:r>
        <w:rPr>
          <w:sz w:val="20"/>
        </w:rPr>
        <w:t xml:space="preserve">. Границами технических зон инженерных коммуникаций являются красные линии улично-дорожной сети.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Размещаемые объекты капитального строительства, имеют следующие потребности в инженерном обеспечении: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Водоснабжение - 1474,7 куб. м/сутки.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Водоотведение - 1474,7 куб. м/сутки.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Электроснабжение - 6120 кВт.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Газоснабжение - 124 куб. м/час.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Теплоснабжение - 14227 кВт.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VI. Основные направления транспортного обслуживания</w:t>
      </w:r>
    </w:p>
    <w:p>
      <w:pPr>
        <w:pStyle w:val="0"/>
        <w:jc w:val="center"/>
      </w:pPr>
      <w:r>
        <w:rPr>
          <w:sz w:val="20"/>
        </w:rPr>
        <w:t xml:space="preserve">территории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Проект планировки сохраняет в своей основе исторически сложившуюся структуру улиц, заложенную на предыдущих этапах проектирования, учитывает природно-климатические и ландшафтные условия. Основой транспортной схемы планируемой территории является транспортная схема, утвержденная в составе Генерального </w:t>
      </w:r>
      <w:hyperlink w:history="0" r:id="rId34" w:tooltip="Решение Воронежской городской Думы от 19.12.2008 N 422-II (с изм. от 19.05.2010) &quot;Об утверждении Генерального плана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плана</w:t>
        </w:r>
      </w:hyperlink>
      <w:r>
        <w:rPr>
          <w:sz w:val="20"/>
        </w:rPr>
        <w:t xml:space="preserve">. Проектом планировки предусматривается реконструкция существующих транспортных связей, используются наименования улиц, установленные на момент его подготовки. Ширина улиц в красных линиях определена с учетом санитарно-гигиенических требований в зависимости от категорий улиц и дорог, интенсивности движения транспорта и пешеходов, наличия технических полос для прокладки инженерных коммуникаций.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Ведомость координат красных линий приведена в </w:t>
      </w:r>
      <w:hyperlink w:history="0" w:anchor="P200" w:tooltip="Таблица N 2">
        <w:r>
          <w:rPr>
            <w:sz w:val="20"/>
            <w:color w:val="0000ff"/>
          </w:rPr>
          <w:t xml:space="preserve">таблице N 2</w:t>
        </w:r>
      </w:hyperlink>
      <w:r>
        <w:rPr>
          <w:sz w:val="20"/>
        </w:rPr>
        <w:t xml:space="preserve">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200" w:name="P200"/>
    <w:bookmarkEnd w:id="200"/>
    <w:p>
      <w:pPr>
        <w:pStyle w:val="0"/>
        <w:outlineLvl w:val="3"/>
        <w:jc w:val="right"/>
      </w:pPr>
      <w:r>
        <w:rPr>
          <w:sz w:val="20"/>
        </w:rPr>
        <w:t xml:space="preserve">Таблица N 2</w:t>
      </w:r>
    </w:p>
    <w:p>
      <w:pPr>
        <w:pStyle w:val="0"/>
        <w:jc w:val="right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75" w:type="dxa"/>
          <w:left w:w="40" w:type="dxa"/>
          <w:bottom w:w="75" w:type="dxa"/>
          <w:right w:w="40" w:type="dxa"/>
        </w:tblCellMar>
      </w:tblPr>
      <w:tblGrid>
        <w:gridCol w:w="1080"/>
        <w:gridCol w:w="3960"/>
        <w:gridCol w:w="3840"/>
      </w:tblGrid>
      <w:tr>
        <w:trPr>
          <w:trHeight w:val="246" w:hRule="atLeast"/>
        </w:trPr>
        <w:tc>
          <w:tcPr>
            <w:gridSpan w:val="3"/>
            <w:tcW w:w="9240" w:type="dxa"/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               М/р ул. Димитрова                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1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  2   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  3   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N точки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  X   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  Y   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1 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702,94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4784,98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2 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809,94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4643,09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3 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901,21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4710,56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4 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953,41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4830,06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5 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935,97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4837,74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6 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904,43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4862,27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7 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862,00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4903,98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8 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610,15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4963,73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9 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611,23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4951,02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10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589,94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4935,01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11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692,20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4799,33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12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849,48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4916,28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13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795,04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4999,68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15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803,66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5024,53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16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893,42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5039,94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17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886,78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5199,92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18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774,77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5182,87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19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792,81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5022,67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20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763,75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5182,01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21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472,72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5134,69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22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451,53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5118,66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23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558,25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4977,07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24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437,92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5136,71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25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465,21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5157,11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26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532,44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5167,91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27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516,05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5275,97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28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349,39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5254,22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29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471,22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5287,03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30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447,09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5397,42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31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408,50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5392,80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32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421,44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5280,55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33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409,55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5278,96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34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396,58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5391,40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35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258,46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5374,87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36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337,78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5269,62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37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910,23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4556,59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38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844,86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4596,73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39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819,96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4629,79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40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916,67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4700,55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41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976,00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4836,38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42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943,79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4850,70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43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914,47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4873,43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44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876,15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4911,11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45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915,20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4999,02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46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906,48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5201,84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47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1092,29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5224,53            </w:t>
            </w:r>
          </w:p>
        </w:tc>
      </w:tr>
      <w:tr>
        <w:trPr>
          <w:trHeight w:val="246" w:hRule="atLeast"/>
        </w:trPr>
        <w:tc>
          <w:tcPr>
            <w:tcW w:w="120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0       </w:t>
            </w:r>
          </w:p>
        </w:tc>
        <w:tc>
          <w:tcPr>
            <w:tcW w:w="408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1182,78             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4604,43            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Основные пешеходные связи обеспечивают удобную пешеходную доступность объектов обслуживания, остановок общественного транспорта и зон отдыха. Ширина тротуаров принята с учетом категории и назначения улиц в зависимости от размеров пешеходного движения.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Расчет минимального количества машино-мест произведен в соответствии с нормами местного </w:t>
      </w:r>
      <w:hyperlink w:history="0" r:id="rId35" w:tooltip="Постановление Администрации городского округа город Воронеж от 26.07.2010 N 650 (ред. от 25.12.2012) &quot;Об утверждении местного норматива градостроительного проектирования &quot;Планировка жилых, общественно-деловых и рекреационных зон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норматива</w:t>
        </w:r>
      </w:hyperlink>
      <w:r>
        <w:rPr>
          <w:sz w:val="20"/>
        </w:rPr>
        <w:t xml:space="preserve"> градостроительного проектирования, согласно </w:t>
      </w:r>
      <w:hyperlink w:history="0" r:id="rId36" w:tooltip="Постановление Администрации городского округа город Воронеж от 26.07.2010 N 650 (ред. от 25.12.2012) &quot;Об утверждении местного норматива градостроительного проектирования &quot;Планировка жилых, общественно-деловых и рекреационных зон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п. 2.7.5</w:t>
        </w:r>
      </w:hyperlink>
      <w:r>
        <w:rPr>
          <w:sz w:val="20"/>
        </w:rPr>
        <w:t xml:space="preserve"> в условиях реконструкции жилых микрорайонов, кварталов допускается принимать расчетное число машино-мест одно на две квартиры. Таким образом для планируемой жилой застройки необходимо размещение подземных автостоянок на 485 машино-мест. Проектом предлагается размещение подземной стоянки на 530 машино-мест (на территории 1-го элемента). Для обслуживания общественных зданий и сооружений предусмотрена сеть стоянок с концентрацией их вблизи общественных и транспортных узлов. Расчет площади стоянок для кратковременного хранения транспортных средств производить в соответствии с местным </w:t>
      </w:r>
      <w:hyperlink w:history="0" r:id="rId37" w:tooltip="Постановление Администрации городского округа город Воронеж от 26.07.2010 N 650 (ред. от 25.12.2012) &quot;Об утверждении местного норматива градостроительного проектирования &quot;Планировка жилых, общественно-деловых и рекреационных зон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нормативом</w:t>
        </w:r>
      </w:hyperlink>
      <w:r>
        <w:rPr>
          <w:sz w:val="20"/>
        </w:rPr>
        <w:t xml:space="preserve"> на последующих стадиях проектирования.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VII. Характеристики планируемого развития территории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Площадь проектируемой территории определена по красным линиям прилегающих улиц и составляет 27,8 га. Интенсивность использования территории жилого квартала: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процент застроенности территории составит 16,04%;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плотность жилой застройки - 4,915 тыс. кв. м/га;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население - 3417 чел., в том числе нового жилого фонда - 2284 чел.;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плотность населения - 123 чел./га;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общая площадь сохраняемой жилой застройки (фонд) - 45300 кв. 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общая площадь жилой застройки (фонд) нового строительства - 91340 кв. 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общая площадь квартир составит 68506 кв. 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Проектное предложение по балансу территории микрорайона приведено в </w:t>
      </w:r>
      <w:hyperlink w:history="0" w:anchor="P319" w:tooltip="Таблица N 3">
        <w:r>
          <w:rPr>
            <w:sz w:val="20"/>
            <w:color w:val="0000ff"/>
          </w:rPr>
          <w:t xml:space="preserve">таблице N 3</w:t>
        </w:r>
      </w:hyperlink>
      <w:r>
        <w:rPr>
          <w:sz w:val="20"/>
        </w:rPr>
        <w:t xml:space="preserve">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19" w:name="P319"/>
    <w:bookmarkEnd w:id="319"/>
    <w:p>
      <w:pPr>
        <w:pStyle w:val="0"/>
        <w:outlineLvl w:val="3"/>
        <w:jc w:val="right"/>
      </w:pPr>
      <w:r>
        <w:rPr>
          <w:sz w:val="20"/>
        </w:rPr>
        <w:t xml:space="preserve">Таблица N 3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75" w:type="dxa"/>
          <w:left w:w="40" w:type="dxa"/>
          <w:bottom w:w="75" w:type="dxa"/>
          <w:right w:w="40" w:type="dxa"/>
        </w:tblCellMar>
      </w:tblPr>
      <w:tblGrid>
        <w:gridCol w:w="4200"/>
        <w:gridCol w:w="600"/>
        <w:gridCol w:w="1320"/>
        <w:gridCol w:w="720"/>
        <w:gridCol w:w="1320"/>
        <w:gridCol w:w="720"/>
      </w:tblGrid>
      <w:tr>
        <w:trPr>
          <w:trHeight w:val="246" w:hRule="atLeast"/>
        </w:trPr>
        <w:tc>
          <w:tcPr>
            <w:tcW w:w="4320" w:type="dxa"/>
            <w:vMerge w:val="restart"/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Территория            </w:t>
            </w:r>
          </w:p>
        </w:tc>
        <w:tc>
          <w:tcPr>
            <w:tcW w:w="720" w:type="dxa"/>
            <w:vMerge w:val="restart"/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Ед.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изм.</w:t>
            </w:r>
          </w:p>
        </w:tc>
        <w:tc>
          <w:tcPr>
            <w:gridSpan w:val="2"/>
            <w:tcW w:w="2280" w:type="dxa"/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Существующее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 положение    </w:t>
            </w:r>
          </w:p>
        </w:tc>
        <w:tc>
          <w:tcPr>
            <w:gridSpan w:val="2"/>
            <w:tcW w:w="2280" w:type="dxa"/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Проектное 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  решение     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количество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% 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количество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%  </w:t>
            </w:r>
          </w:p>
        </w:tc>
      </w:tr>
      <w:tr>
        <w:trPr>
          <w:trHeight w:val="246" w:hRule="atLeast"/>
        </w:trPr>
        <w:tc>
          <w:tcPr>
            <w:tcW w:w="43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   1                 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2 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3  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4 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5  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6  </w:t>
            </w:r>
          </w:p>
        </w:tc>
      </w:tr>
      <w:tr>
        <w:trPr>
          <w:trHeight w:val="246" w:hRule="atLeast"/>
        </w:trPr>
        <w:tc>
          <w:tcPr>
            <w:tcW w:w="43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Территория квартала в красных  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линиях, всего                     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га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27,8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100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27,8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100 </w:t>
            </w:r>
          </w:p>
        </w:tc>
      </w:tr>
      <w:tr>
        <w:trPr>
          <w:trHeight w:val="246" w:hRule="atLeast"/>
        </w:trPr>
        <w:tc>
          <w:tcPr>
            <w:tcW w:w="43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в том числе: территория жилой  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застройки                         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га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14,52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52,2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10,46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37,6 </w:t>
            </w:r>
          </w:p>
        </w:tc>
      </w:tr>
      <w:tr>
        <w:trPr>
          <w:trHeight w:val="246" w:hRule="atLeast"/>
        </w:trPr>
        <w:tc>
          <w:tcPr>
            <w:tcW w:w="43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Территория общего пользования, 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всего:                            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га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13,28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47,8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17,34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62,4 </w:t>
            </w:r>
          </w:p>
        </w:tc>
      </w:tr>
      <w:tr>
        <w:trPr>
          <w:trHeight w:val="246" w:hRule="atLeast"/>
        </w:trPr>
        <w:tc>
          <w:tcPr>
            <w:tcW w:w="43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в том числе: участки школ         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га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1,12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4,0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1,12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4,0 </w:t>
            </w:r>
          </w:p>
        </w:tc>
      </w:tr>
      <w:tr>
        <w:trPr>
          <w:trHeight w:val="246" w:hRule="atLeast"/>
        </w:trPr>
        <w:tc>
          <w:tcPr>
            <w:tcW w:w="43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Участки детских садов             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га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-  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- 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0,8 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2,9 </w:t>
            </w:r>
          </w:p>
        </w:tc>
      </w:tr>
      <w:tr>
        <w:trPr>
          <w:trHeight w:val="246" w:hRule="atLeast"/>
        </w:trPr>
        <w:tc>
          <w:tcPr>
            <w:tcW w:w="43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Участки зеленых насаждений общего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пользования и спортивных       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сооружений                        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га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4,51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16,2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6,95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25,0 </w:t>
            </w:r>
          </w:p>
        </w:tc>
      </w:tr>
      <w:tr>
        <w:trPr>
          <w:trHeight w:val="246" w:hRule="atLeast"/>
        </w:trPr>
        <w:tc>
          <w:tcPr>
            <w:tcW w:w="43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Участки объектов                  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культурно-бытового и коммунального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обслуживания                      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га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0,49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1,8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1,17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4,2 </w:t>
            </w:r>
          </w:p>
        </w:tc>
      </w:tr>
      <w:tr>
        <w:trPr>
          <w:trHeight w:val="246" w:hRule="atLeast"/>
        </w:trPr>
        <w:tc>
          <w:tcPr>
            <w:tcW w:w="43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Вуз (Институт экономики и права)  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га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0,25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0,9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0,25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0,9 </w:t>
            </w:r>
          </w:p>
        </w:tc>
      </w:tr>
      <w:tr>
        <w:trPr>
          <w:trHeight w:val="246" w:hRule="atLeast"/>
        </w:trPr>
        <w:tc>
          <w:tcPr>
            <w:tcW w:w="43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Участки гаражей, стоянки подземные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га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-  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- 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2,35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-  </w:t>
            </w:r>
          </w:p>
        </w:tc>
      </w:tr>
      <w:tr>
        <w:trPr>
          <w:trHeight w:val="246" w:hRule="atLeast"/>
        </w:trPr>
        <w:tc>
          <w:tcPr>
            <w:tcW w:w="43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Улицы, проезды                    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га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5,73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20,6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5,73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20,6 </w:t>
            </w:r>
          </w:p>
        </w:tc>
      </w:tr>
      <w:tr>
        <w:trPr>
          <w:trHeight w:val="246" w:hRule="atLeast"/>
        </w:trPr>
        <w:tc>
          <w:tcPr>
            <w:tcW w:w="43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Автостоянки открытые              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га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 -  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- 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0,25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0,9 </w:t>
            </w:r>
          </w:p>
        </w:tc>
      </w:tr>
      <w:tr>
        <w:trPr>
          <w:trHeight w:val="246" w:hRule="atLeast"/>
        </w:trPr>
        <w:tc>
          <w:tcPr>
            <w:tcW w:w="43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Прочие территории (в/ч, пустырь)  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га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1,18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4,3 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  1,07   </w:t>
            </w:r>
          </w:p>
        </w:tc>
        <w:tc>
          <w:tcPr>
            <w:tcW w:w="840" w:type="dxa"/>
            <w:tcBorders>
              <w:top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 3,8 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Описание и обоснование параметров планируемого строительства систем социального, транспортного обслуживания и инженерно-технического обеспечения, необходимых для развития территории, изложены в материалах по обоснованию проекта планировки.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VIII. Защита территории от чрезвычайных ситуаций природного</w:t>
      </w:r>
    </w:p>
    <w:p>
      <w:pPr>
        <w:pStyle w:val="0"/>
        <w:jc w:val="center"/>
      </w:pPr>
      <w:r>
        <w:rPr>
          <w:sz w:val="20"/>
        </w:rPr>
        <w:t xml:space="preserve">и техногенного характера, проведения мероприятий</w:t>
      </w:r>
    </w:p>
    <w:p>
      <w:pPr>
        <w:pStyle w:val="0"/>
        <w:jc w:val="center"/>
      </w:pPr>
      <w:r>
        <w:rPr>
          <w:sz w:val="20"/>
        </w:rPr>
        <w:t xml:space="preserve">по гражданской обороне и обеспечению пожарной безопасности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Мероприятия по защите территории от чрезвычайных ситуаций природного и техногенного характера, проведения мероприятий по гражданской обороне и обеспечению пожарной безопасности должны производиться в соответствии с положениями Генерального </w:t>
      </w:r>
      <w:hyperlink w:history="0" r:id="rId38" w:tooltip="Решение Воронежской городской Думы от 19.12.2008 N 422-II (с изм. от 19.05.2010) &quot;Об утверждении Генерального плана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плана</w:t>
        </w:r>
      </w:hyperlink>
      <w:r>
        <w:rPr>
          <w:sz w:val="20"/>
        </w:rPr>
        <w:t xml:space="preserve"> городского округа город Воронеж.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Руководитель управления</w:t>
      </w:r>
    </w:p>
    <w:p>
      <w:pPr>
        <w:pStyle w:val="0"/>
        <w:jc w:val="right"/>
      </w:pPr>
      <w:r>
        <w:rPr>
          <w:sz w:val="20"/>
        </w:rPr>
        <w:t xml:space="preserve">главного архитектора городского округа</w:t>
      </w:r>
    </w:p>
    <w:p>
      <w:pPr>
        <w:pStyle w:val="0"/>
        <w:jc w:val="right"/>
      </w:pPr>
      <w:r>
        <w:rPr>
          <w:sz w:val="20"/>
        </w:rPr>
        <w:t xml:space="preserve">А.В.ШЕВЕЛЕВ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городского округа город Воронеж от 09.08.2013 N 740</w:t>
            <w:br/>
            <w:t>"Об утверждении проекта планировки терри...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149845" TargetMode = "External"/><Relationship Id="rId9" Type="http://schemas.openxmlformats.org/officeDocument/2006/relationships/hyperlink" Target="https://login.consultant.ru/link/?req=doc&amp;base=LAW&amp;n=146308" TargetMode = "External"/><Relationship Id="rId10" Type="http://schemas.openxmlformats.org/officeDocument/2006/relationships/hyperlink" Target="https://login.consultant.ru/link/?req=doc&amp;base=RLAW181&amp;n=53808" TargetMode = "External"/><Relationship Id="rId11" Type="http://schemas.openxmlformats.org/officeDocument/2006/relationships/hyperlink" Target="https://login.consultant.ru/link/?req=doc&amp;base=RLAW181&amp;n=29309&amp;dst=100005" TargetMode = "External"/><Relationship Id="rId12" Type="http://schemas.openxmlformats.org/officeDocument/2006/relationships/hyperlink" Target="https://login.consultant.ru/link/?req=doc&amp;base=RLAW181&amp;n=40750" TargetMode = "External"/><Relationship Id="rId13" Type="http://schemas.openxmlformats.org/officeDocument/2006/relationships/hyperlink" Target="https://login.consultant.ru/link/?req=doc&amp;base=RLAW181&amp;n=35936&amp;dst=100011" TargetMode = "External"/><Relationship Id="rId14" Type="http://schemas.openxmlformats.org/officeDocument/2006/relationships/hyperlink" Target="https://login.consultant.ru/link/?req=doc&amp;base=RLAW181&amp;n=40750" TargetMode = "External"/><Relationship Id="rId15" Type="http://schemas.openxmlformats.org/officeDocument/2006/relationships/hyperlink" Target="https://login.consultant.ru/link/?req=doc&amp;base=RLAW181&amp;n=29309&amp;dst=100005" TargetMode = "External"/><Relationship Id="rId16" Type="http://schemas.openxmlformats.org/officeDocument/2006/relationships/hyperlink" Target="https://login.consultant.ru/link/?req=doc&amp;base=RLAW181&amp;n=31140&amp;dst=100014" TargetMode = "External"/><Relationship Id="rId17" Type="http://schemas.openxmlformats.org/officeDocument/2006/relationships/hyperlink" Target="https://login.consultant.ru/link/?req=doc&amp;base=RLAW181&amp;n=49539&amp;dst=100037" TargetMode = "External"/><Relationship Id="rId18" Type="http://schemas.openxmlformats.org/officeDocument/2006/relationships/hyperlink" Target="https://login.consultant.ru/link/?req=doc&amp;base=LAW&amp;n=149845" TargetMode = "External"/><Relationship Id="rId19" Type="http://schemas.openxmlformats.org/officeDocument/2006/relationships/hyperlink" Target="https://login.consultant.ru/link/?req=doc&amp;base=RLAW181&amp;n=49625&amp;dst=100009" TargetMode = "External"/><Relationship Id="rId20" Type="http://schemas.openxmlformats.org/officeDocument/2006/relationships/hyperlink" Target="https://login.consultant.ru/link/?req=doc&amp;base=RLAW181&amp;n=51741&amp;dst=100009" TargetMode = "External"/><Relationship Id="rId21" Type="http://schemas.openxmlformats.org/officeDocument/2006/relationships/hyperlink" Target="https://login.consultant.ru/link/?req=doc&amp;base=RLAW181&amp;n=49539&amp;dst=101223" TargetMode = "External"/><Relationship Id="rId22" Type="http://schemas.openxmlformats.org/officeDocument/2006/relationships/hyperlink" Target="https://login.consultant.ru/link/?req=doc&amp;base=RLAW181&amp;n=49539&amp;dst=101244" TargetMode = "External"/><Relationship Id="rId23" Type="http://schemas.openxmlformats.org/officeDocument/2006/relationships/hyperlink" Target="https://login.consultant.ru/link/?req=doc&amp;base=RLAW181&amp;n=49539&amp;dst=101363" TargetMode = "External"/><Relationship Id="rId24" Type="http://schemas.openxmlformats.org/officeDocument/2006/relationships/hyperlink" Target="https://login.consultant.ru/link/?req=doc&amp;base=RLAW181&amp;n=49539&amp;dst=101583" TargetMode = "External"/><Relationship Id="rId25" Type="http://schemas.openxmlformats.org/officeDocument/2006/relationships/hyperlink" Target="https://login.consultant.ru/link/?req=doc&amp;base=RLAW181&amp;n=29309&amp;dst=100005" TargetMode = "External"/><Relationship Id="rId26" Type="http://schemas.openxmlformats.org/officeDocument/2006/relationships/hyperlink" Target="https://login.consultant.ru/link/?req=doc&amp;base=RLAW181&amp;n=51741&amp;dst=100009" TargetMode = "External"/><Relationship Id="rId27" Type="http://schemas.openxmlformats.org/officeDocument/2006/relationships/hyperlink" Target="https://login.consultant.ru/link/?req=doc&amp;base=RLAW181&amp;n=49539&amp;dst=100037" TargetMode = "External"/><Relationship Id="rId28" Type="http://schemas.openxmlformats.org/officeDocument/2006/relationships/hyperlink" Target="https://login.consultant.ru/link/?req=doc&amp;base=RLAW181&amp;n=35936&amp;dst=100011" TargetMode = "External"/><Relationship Id="rId29" Type="http://schemas.openxmlformats.org/officeDocument/2006/relationships/hyperlink" Target="https://login.consultant.ru/link/?req=doc&amp;base=RLAW181&amp;n=35936&amp;dst=100011" TargetMode = "External"/><Relationship Id="rId30" Type="http://schemas.openxmlformats.org/officeDocument/2006/relationships/hyperlink" Target="https://login.consultant.ru/link/?req=doc&amp;base=RLAW181&amp;n=35936&amp;dst=100011" TargetMode = "External"/><Relationship Id="rId31" Type="http://schemas.openxmlformats.org/officeDocument/2006/relationships/hyperlink" Target="https://login.consultant.ru/link/?req=doc&amp;base=RLAW181&amp;n=35936&amp;dst=100011" TargetMode = "External"/><Relationship Id="rId32" Type="http://schemas.openxmlformats.org/officeDocument/2006/relationships/hyperlink" Target="https://login.consultant.ru/link/?req=doc&amp;base=RLAW181&amp;n=51741&amp;dst=100009" TargetMode = "External"/><Relationship Id="rId33" Type="http://schemas.openxmlformats.org/officeDocument/2006/relationships/hyperlink" Target="https://login.consultant.ru/link/?req=doc&amp;base=RLAW181&amp;n=29309&amp;dst=100005" TargetMode = "External"/><Relationship Id="rId34" Type="http://schemas.openxmlformats.org/officeDocument/2006/relationships/hyperlink" Target="https://login.consultant.ru/link/?req=doc&amp;base=RLAW181&amp;n=29309&amp;dst=100005" TargetMode = "External"/><Relationship Id="rId35" Type="http://schemas.openxmlformats.org/officeDocument/2006/relationships/hyperlink" Target="https://login.consultant.ru/link/?req=doc&amp;base=RLAW181&amp;n=51741&amp;dst=100009" TargetMode = "External"/><Relationship Id="rId36" Type="http://schemas.openxmlformats.org/officeDocument/2006/relationships/hyperlink" Target="https://login.consultant.ru/link/?req=doc&amp;base=RLAW181&amp;n=51741&amp;dst=100279" TargetMode = "External"/><Relationship Id="rId37" Type="http://schemas.openxmlformats.org/officeDocument/2006/relationships/hyperlink" Target="https://login.consultant.ru/link/?req=doc&amp;base=RLAW181&amp;n=51741&amp;dst=100009" TargetMode = "External"/><Relationship Id="rId38" Type="http://schemas.openxmlformats.org/officeDocument/2006/relationships/hyperlink" Target="https://login.consultant.ru/link/?req=doc&amp;base=RLAW181&amp;n=29309&amp;dst=100005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городского округа город Воронеж от 09.08.2013 N 740
"Об утверждении проекта планировки территории микрорайона по ул. Димитрова в городском округе город Воронеж"</dc:title>
  <dcterms:created xsi:type="dcterms:W3CDTF">2026-03-23T11:11:35Z</dcterms:created>
</cp:coreProperties>
</file>