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4" w:rsidRDefault="002D20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2044" w:rsidRDefault="002D2044">
      <w:pPr>
        <w:pStyle w:val="ConsPlusNormal"/>
        <w:ind w:firstLine="540"/>
        <w:jc w:val="both"/>
        <w:outlineLvl w:val="0"/>
      </w:pPr>
    </w:p>
    <w:p w:rsidR="002D2044" w:rsidRDefault="002D2044">
      <w:pPr>
        <w:pStyle w:val="ConsPlusTitle"/>
        <w:jc w:val="center"/>
      </w:pPr>
      <w:r>
        <w:t>ДЕПАРТАМЕНТ ЖИЛИЩНО-КОММУНАЛЬНОГО ХОЗЯЙСТВА И ЭНЕРГЕТИКИ</w:t>
      </w:r>
    </w:p>
    <w:p w:rsidR="002D2044" w:rsidRDefault="002D2044">
      <w:pPr>
        <w:pStyle w:val="ConsPlusTitle"/>
        <w:jc w:val="center"/>
      </w:pPr>
      <w:r>
        <w:t>ВОРОНЕЖСКОЙ ОБЛАСТИ</w:t>
      </w:r>
    </w:p>
    <w:p w:rsidR="002D2044" w:rsidRDefault="002D2044">
      <w:pPr>
        <w:pStyle w:val="ConsPlusTitle"/>
        <w:jc w:val="center"/>
      </w:pPr>
    </w:p>
    <w:p w:rsidR="002D2044" w:rsidRDefault="002D2044">
      <w:pPr>
        <w:pStyle w:val="ConsPlusTitle"/>
        <w:jc w:val="center"/>
      </w:pPr>
      <w:r>
        <w:t>ПРИКАЗ</w:t>
      </w:r>
    </w:p>
    <w:p w:rsidR="002D2044" w:rsidRDefault="002D2044">
      <w:pPr>
        <w:pStyle w:val="ConsPlusTitle"/>
        <w:jc w:val="center"/>
      </w:pPr>
      <w:r>
        <w:t>от 12 февраля 2019 г. N 29</w:t>
      </w:r>
    </w:p>
    <w:p w:rsidR="002D2044" w:rsidRDefault="002D2044">
      <w:pPr>
        <w:pStyle w:val="ConsPlusTitle"/>
        <w:jc w:val="center"/>
      </w:pPr>
    </w:p>
    <w:p w:rsidR="002D2044" w:rsidRDefault="002D2044">
      <w:pPr>
        <w:pStyle w:val="ConsPlusTitle"/>
        <w:jc w:val="center"/>
      </w:pPr>
      <w:r>
        <w:t>О РАСЧЕТЕ ПЛАТЫ ГРАЖДАН ЗА КОММУНАЛЬНУЮ УСЛУГУ ПО ОБРАЩЕНИЮ</w:t>
      </w:r>
    </w:p>
    <w:p w:rsidR="002D2044" w:rsidRDefault="002D2044">
      <w:pPr>
        <w:pStyle w:val="ConsPlusTitle"/>
        <w:jc w:val="center"/>
      </w:pPr>
      <w:r>
        <w:t>С ТВЕРДЫМИ КОММУНАЛЬНЫМИ ОТХОДАМИ ДЛЯ МНОГОКВАРТИРНЫХ ДОМОВ,</w:t>
      </w:r>
    </w:p>
    <w:p w:rsidR="002D2044" w:rsidRDefault="002D2044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ГОРОДСКОГО ОКРУГА ГОРОД ВОРОНЕЖ,</w:t>
      </w:r>
    </w:p>
    <w:p w:rsidR="002D2044" w:rsidRDefault="002D2044">
      <w:pPr>
        <w:pStyle w:val="ConsPlusTitle"/>
        <w:jc w:val="center"/>
      </w:pPr>
      <w:r>
        <w:t>И ОБ УСТАНОВЛЕНИИ ПОНИЖАЮЩИХ КОЭФФИЦИЕНТОВ</w:t>
      </w: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04.04.2016 N 269 "Об определении нормативов накопления твердых коммунальных отходов",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(далее - Правила),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Минстроя России от 28.07.2016 N</w:t>
      </w:r>
      <w:proofErr w:type="gramEnd"/>
      <w:r>
        <w:t xml:space="preserve"> 524/</w:t>
      </w:r>
      <w:proofErr w:type="gramStart"/>
      <w:r>
        <w:t>пр</w:t>
      </w:r>
      <w:proofErr w:type="gramEnd"/>
      <w:r>
        <w:t xml:space="preserve"> "Об утверждении Методических рекомендаций по вопросам, связанным с определением нормативов накопления твердых коммунальных отходов",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26.11.2014 N 1056 "Об утверждении Положения о департаменте жилищно-коммунального хозяйства и энергетики Воронежской области", в целях недопущения существенного роста платы граждан за коммунальную услугу по обращению с твердыми коммунальными отходами приказываю: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связи с введением на территории городского округа город Воронеж раздельного накопления твердых коммунальных отходов при расчете платы граждан за коммунальную услугу по обращению с твердыми коммунальными отходами в многоквартирных домах, расположенных на территории городского округа город Воронеж, размер платы за коммунальную услугу по обращению с твердыми коммунальными отходами в жилом помещении определять исходя из общей площади жилого помещения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объема вывезенных контейнеров в соответствии с </w:t>
      </w:r>
      <w:hyperlink r:id="rId11" w:history="1">
        <w:r>
          <w:rPr>
            <w:color w:val="0000FF"/>
          </w:rPr>
          <w:t>пунктом 148(30)</w:t>
        </w:r>
      </w:hyperlink>
      <w:r>
        <w:t xml:space="preserve"> Правил и </w:t>
      </w:r>
      <w:hyperlink r:id="rId12" w:history="1">
        <w:r>
          <w:rPr>
            <w:color w:val="0000FF"/>
          </w:rPr>
          <w:t>формулой 9(4)</w:t>
        </w:r>
      </w:hyperlink>
      <w:r>
        <w:t xml:space="preserve"> приложения N 2 к Правилам.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>2. Расчет платы за коммунальную услугу по обращению с твердыми коммунальными отходами за нежилые помещения, находящиеся в многоквартирных домах, расположенных на территории городского округа город Воронеж и не используемые для осуществления предпринимательской деятельности, производить исходя из норматива 0,15 м</w:t>
      </w:r>
      <w:r>
        <w:rPr>
          <w:vertAlign w:val="superscript"/>
        </w:rPr>
        <w:t>3</w:t>
      </w:r>
      <w:r>
        <w:t>/год на 1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нежилого помещения.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 xml:space="preserve">3. Установить следующие понижающие коэффициенты к </w:t>
      </w:r>
      <w:hyperlink r:id="rId13" w:history="1">
        <w:r>
          <w:rPr>
            <w:color w:val="0000FF"/>
          </w:rPr>
          <w:t>нормативам</w:t>
        </w:r>
      </w:hyperlink>
      <w:r>
        <w:t xml:space="preserve"> накопления твердых коммунальных отходов на территории Воронежской области для Воронежского межмуниципального экологического отходоперерабатывающего кластера, утвержденным приказом департамента жилищно-коммунального хозяйства и энергетики Воронежской области от 12.04.2018 N 78: </w:t>
      </w:r>
      <w:hyperlink w:anchor="P246" w:history="1">
        <w:r>
          <w:rPr>
            <w:color w:val="0000FF"/>
          </w:rPr>
          <w:t>&lt;*&gt;</w:t>
        </w:r>
      </w:hyperlink>
    </w:p>
    <w:p w:rsidR="002D2044" w:rsidRDefault="002D20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345"/>
        <w:gridCol w:w="1814"/>
        <w:gridCol w:w="1361"/>
        <w:gridCol w:w="1644"/>
      </w:tblGrid>
      <w:tr w:rsidR="002D2044">
        <w:tc>
          <w:tcPr>
            <w:tcW w:w="904" w:type="dxa"/>
            <w:vMerge w:val="restart"/>
          </w:tcPr>
          <w:p w:rsidR="002D2044" w:rsidRDefault="002D20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2D2044" w:rsidRDefault="002D2044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1814" w:type="dxa"/>
            <w:vMerge w:val="restart"/>
          </w:tcPr>
          <w:p w:rsidR="002D2044" w:rsidRDefault="002D2044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Нормативы накопления</w:t>
            </w:r>
          </w:p>
        </w:tc>
        <w:tc>
          <w:tcPr>
            <w:tcW w:w="1644" w:type="dxa"/>
            <w:vMerge w:val="restart"/>
          </w:tcPr>
          <w:p w:rsidR="002D2044" w:rsidRDefault="002D2044">
            <w:pPr>
              <w:pStyle w:val="ConsPlusNormal"/>
              <w:jc w:val="center"/>
            </w:pPr>
            <w:r>
              <w:t>Понижающий коэффициент</w:t>
            </w:r>
          </w:p>
        </w:tc>
      </w:tr>
      <w:tr w:rsidR="002D2044">
        <w:tc>
          <w:tcPr>
            <w:tcW w:w="904" w:type="dxa"/>
            <w:vMerge/>
          </w:tcPr>
          <w:p w:rsidR="002D2044" w:rsidRDefault="002D2044"/>
        </w:tc>
        <w:tc>
          <w:tcPr>
            <w:tcW w:w="3345" w:type="dxa"/>
            <w:vMerge/>
          </w:tcPr>
          <w:p w:rsidR="002D2044" w:rsidRDefault="002D2044"/>
        </w:tc>
        <w:tc>
          <w:tcPr>
            <w:tcW w:w="1814" w:type="dxa"/>
            <w:vMerge/>
          </w:tcPr>
          <w:p w:rsidR="002D2044" w:rsidRDefault="002D2044"/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644" w:type="dxa"/>
            <w:vMerge/>
          </w:tcPr>
          <w:p w:rsidR="002D2044" w:rsidRDefault="002D2044"/>
        </w:tc>
      </w:tr>
      <w:tr w:rsidR="002D2044">
        <w:tc>
          <w:tcPr>
            <w:tcW w:w="9068" w:type="dxa"/>
            <w:gridSpan w:val="5"/>
          </w:tcPr>
          <w:p w:rsidR="002D2044" w:rsidRDefault="002D2044">
            <w:pPr>
              <w:pStyle w:val="ConsPlusNormal"/>
              <w:jc w:val="center"/>
            </w:pPr>
            <w:r>
              <w:t>Домовладения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Многоквартирные дома в городском округе город Нововоронеж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1,773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Индивидуальные жилые дома в городском округе город Воронеж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3,215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1,31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Индивидуальные жилые дома в городском округе город Нововоронеж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3,215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1,699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Многоквартирные дома, индивидуальные жилые дома в муниципальных районах, в том числе по муниципальным районам: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361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644" w:type="dxa"/>
          </w:tcPr>
          <w:p w:rsidR="002D2044" w:rsidRDefault="002D2044">
            <w:pPr>
              <w:pStyle w:val="ConsPlusNormal"/>
            </w:pP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Каширский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4.2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Нижнедевицкий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1,818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4.3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Рамонский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1,1676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4.4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Репьевский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1,818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Семилукский, в том числе по поселениям (населенным пунктам):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361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644" w:type="dxa"/>
          </w:tcPr>
          <w:p w:rsidR="002D2044" w:rsidRDefault="002D2044">
            <w:pPr>
              <w:pStyle w:val="ConsPlusNormal"/>
            </w:pP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г. Семилуки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1,336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4.5.2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Латненское городское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1,490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4.5.3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Стрелицкое городское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1,490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4.5.4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Губаревское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4.5.5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Девицкое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4.5.6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Землянское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4.5.7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Латненское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4.5.8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Лосевское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4.5.9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Медвеженское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4.5.10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Нижневедугское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Новосильское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4.5.12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Перлевское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4.5.13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Семилукское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lastRenderedPageBreak/>
              <w:t>4.5.14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Стадницкое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4.5.15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Староведугское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4.6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Хохольский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1,818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Новоусманский, в том числе по поселениям (населенным пунктам):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361" w:type="dxa"/>
          </w:tcPr>
          <w:p w:rsidR="002D2044" w:rsidRDefault="002D2044">
            <w:pPr>
              <w:pStyle w:val="ConsPlusNormal"/>
            </w:pPr>
          </w:p>
        </w:tc>
        <w:tc>
          <w:tcPr>
            <w:tcW w:w="1644" w:type="dxa"/>
          </w:tcPr>
          <w:p w:rsidR="002D2044" w:rsidRDefault="002D2044">
            <w:pPr>
              <w:pStyle w:val="ConsPlusNormal"/>
            </w:pP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Бабяковское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4.7.2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Воленское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1,818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4.7.3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Воронежское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1,818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4.7.4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 xml:space="preserve">Нижнекатуховское сельское поселение, за исключением с. </w:t>
            </w:r>
            <w:proofErr w:type="gramStart"/>
            <w:r>
              <w:t>Нижняя</w:t>
            </w:r>
            <w:proofErr w:type="gramEnd"/>
            <w:r>
              <w:t xml:space="preserve"> Катуховка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4.7.4.1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с. Нижняя Катуховка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1,413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4.7.5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Никольское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4.7.6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Орловское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4.7.7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Отрадненское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4.7.8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Рогачевское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4.7.9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Рождественско-Хавское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4.7.10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Тимирязевское сельское поселение, за исключением д. Михайловка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4.7.10.1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д. Михайловка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1,212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4.7.11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Трудовское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4.7.12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Усманское 1-е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4.7.13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Усманское 2-е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4.7.14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Хлебенское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4.7.15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Хреновское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  <w:tr w:rsidR="002D2044">
        <w:tc>
          <w:tcPr>
            <w:tcW w:w="904" w:type="dxa"/>
          </w:tcPr>
          <w:p w:rsidR="002D2044" w:rsidRDefault="002D2044">
            <w:pPr>
              <w:pStyle w:val="ConsPlusNormal"/>
            </w:pPr>
            <w:r>
              <w:t>4.7.16</w:t>
            </w:r>
          </w:p>
        </w:tc>
        <w:tc>
          <w:tcPr>
            <w:tcW w:w="3345" w:type="dxa"/>
          </w:tcPr>
          <w:p w:rsidR="002D2044" w:rsidRDefault="002D2044">
            <w:pPr>
              <w:pStyle w:val="ConsPlusNormal"/>
            </w:pPr>
            <w:r>
              <w:t>Шуберское сельское поселение</w:t>
            </w:r>
          </w:p>
        </w:tc>
        <w:tc>
          <w:tcPr>
            <w:tcW w:w="1814" w:type="dxa"/>
          </w:tcPr>
          <w:p w:rsidR="002D2044" w:rsidRDefault="002D2044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361" w:type="dxa"/>
          </w:tcPr>
          <w:p w:rsidR="002D2044" w:rsidRDefault="002D2044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644" w:type="dxa"/>
          </w:tcPr>
          <w:p w:rsidR="002D2044" w:rsidRDefault="002D2044">
            <w:pPr>
              <w:pStyle w:val="ConsPlusNormal"/>
              <w:jc w:val="center"/>
            </w:pPr>
            <w:r>
              <w:t>1,476</w:t>
            </w:r>
          </w:p>
        </w:tc>
      </w:tr>
    </w:tbl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ind w:firstLine="540"/>
        <w:jc w:val="both"/>
      </w:pPr>
      <w:r>
        <w:t>--------------------------------</w:t>
      </w:r>
    </w:p>
    <w:p w:rsidR="002D2044" w:rsidRDefault="002D2044">
      <w:pPr>
        <w:pStyle w:val="ConsPlusNormal"/>
        <w:spacing w:before="220"/>
        <w:ind w:firstLine="540"/>
        <w:jc w:val="both"/>
      </w:pPr>
      <w:bookmarkStart w:id="0" w:name="P246"/>
      <w:bookmarkEnd w:id="0"/>
      <w:r>
        <w:lastRenderedPageBreak/>
        <w:t>&lt;*&gt; Расчет ежемесячной платы граждан за услугу по обращению с твердыми коммунальными отходами осуществляется по следующей формуле:</w:t>
      </w: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ind w:left="540"/>
        <w:jc w:val="both"/>
      </w:pPr>
      <w:r w:rsidRPr="00D10E82">
        <w:rPr>
          <w:position w:val="-22"/>
        </w:rPr>
        <w:pict>
          <v:shape id="_x0000_i1025" style="width:117.75pt;height:33.75pt" coordsize="" o:spt="100" adj="0,,0" path="" filled="f" stroked="f">
            <v:stroke joinstyle="miter"/>
            <v:imagedata r:id="rId14" o:title="base_23733_89170_32768"/>
            <v:formulas/>
            <v:path o:connecttype="segments"/>
          </v:shape>
        </w:pict>
      </w: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ind w:firstLine="540"/>
        <w:jc w:val="both"/>
      </w:pPr>
      <w:proofErr w:type="gramStart"/>
      <w:r>
        <w:t>Еп</w:t>
      </w:r>
      <w:proofErr w:type="gramEnd"/>
      <w:r>
        <w:t xml:space="preserve"> - размер ежемесячной платы граждан за услугу по обращению с твердыми коммунальными отходами, на одного проживающего;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>Н - норматив;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>Пк - понижающий коэффициент;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 xml:space="preserve">Т - тариф, утвержденный </w:t>
      </w:r>
      <w:hyperlink r:id="rId15" w:history="1">
        <w:r>
          <w:rPr>
            <w:color w:val="0000FF"/>
          </w:rPr>
          <w:t>приказом</w:t>
        </w:r>
      </w:hyperlink>
      <w:r>
        <w:t xml:space="preserve"> управления по государственному регулированию тарифов Воронежской области от 18.12.2018 N 54/3 (в редакции приказа от 06.02.2019 N 4/1).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>4. Настоящий приказ вступает в силу по истечении 10 дней со дня его официального опубликования и распространяет свое действие на правоотношения, возникшие с 01 января 2019 года.</w:t>
      </w:r>
    </w:p>
    <w:p w:rsidR="002D2044" w:rsidRDefault="002D204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jc w:val="right"/>
      </w:pPr>
      <w:r>
        <w:t>Руководитель департамента</w:t>
      </w:r>
    </w:p>
    <w:p w:rsidR="002D2044" w:rsidRDefault="002D2044">
      <w:pPr>
        <w:pStyle w:val="ConsPlusNormal"/>
        <w:jc w:val="right"/>
      </w:pPr>
      <w:r>
        <w:t>Г.В.СМИРНОВА</w:t>
      </w: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ind w:firstLine="540"/>
        <w:jc w:val="both"/>
      </w:pPr>
    </w:p>
    <w:p w:rsidR="002D2044" w:rsidRDefault="002D20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3E8" w:rsidRDefault="006973E8">
      <w:bookmarkStart w:id="1" w:name="_GoBack"/>
      <w:bookmarkEnd w:id="1"/>
    </w:p>
    <w:sectPr w:rsidR="006973E8" w:rsidSect="0004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4"/>
    <w:rsid w:val="002D2044"/>
    <w:rsid w:val="006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50935092DB0BE5AA9491E36CAD1F7E0C9D68730823D893B228D913A5B37F9302E506672C60B0574F06E77FDA9EC13B919E2A0C94B0B1C851N" TargetMode="External"/><Relationship Id="rId13" Type="http://schemas.openxmlformats.org/officeDocument/2006/relationships/hyperlink" Target="consultantplus://offline/ref=1D7050935092DB0BE5AA8A9CF500F21A7C05CA63720A208AC7ED738444ACB928D44DBC44232161B2534452BF30DBC28466829F2B0C96B9AE8AA4CAC95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050935092DB0BE5AA9491E36CAD1F7E0E936D7B0E23D893B228D913A5B37F9302E506672C60B3524F06E77FDA9EC13B919E2A0C94B0B1C851N" TargetMode="External"/><Relationship Id="rId12" Type="http://schemas.openxmlformats.org/officeDocument/2006/relationships/hyperlink" Target="consultantplus://offline/ref=1D7050935092DB0BE5AA9491E36CAD1F7E0C9D68730823D893B228D913A5B37F9302E503672A6BE6020007BB3A878DC03A919C2313C95F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050935092DB0BE5AA9491E36CAD1F7E0F906D730A23D893B228D913A5B37F9302E503622B6BE6020007BB3A878DC03A919C2313C95FN" TargetMode="External"/><Relationship Id="rId11" Type="http://schemas.openxmlformats.org/officeDocument/2006/relationships/hyperlink" Target="consultantplus://offline/ref=1D7050935092DB0BE5AA9491E36CAD1F7E0C9D68730823D893B228D913A5B37F9302E505632B6BE6020007BB3A878DC03A919C2313C95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7050935092DB0BE5AA8A9CF500F21A7C05CA6372002B89C9ED738444ACB928D44DBC5623796DB35B5A52BF258D93C1C35AN" TargetMode="External"/><Relationship Id="rId10" Type="http://schemas.openxmlformats.org/officeDocument/2006/relationships/hyperlink" Target="consultantplus://offline/ref=1D7050935092DB0BE5AA8A9CF500F21A7C05CA6372002F8DC9ED738444ACB928D44DBC44232161B2534554B630DBC28466829F2B0C96B9AE8AA4CAC95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050935092DB0BE5AA9491E36CAD1F7F0E97697D0923D893B228D913A5B37F8102BD0A66247EB25A5A50B63AC856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Ю.В.</dc:creator>
  <cp:lastModifiedBy>Чернова Ю.В.</cp:lastModifiedBy>
  <cp:revision>1</cp:revision>
  <dcterms:created xsi:type="dcterms:W3CDTF">2019-09-18T13:57:00Z</dcterms:created>
  <dcterms:modified xsi:type="dcterms:W3CDTF">2019-09-18T13:57:00Z</dcterms:modified>
</cp:coreProperties>
</file>