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3F" w:rsidRDefault="00FC343F">
      <w:pPr>
        <w:pStyle w:val="ConsPlusTitlePage"/>
      </w:pPr>
      <w:r>
        <w:t xml:space="preserve">Документ предоставлен </w:t>
      </w:r>
      <w:hyperlink r:id="rId5" w:history="1">
        <w:r>
          <w:rPr>
            <w:color w:val="0000FF"/>
          </w:rPr>
          <w:t>КонсультантПлюс</w:t>
        </w:r>
      </w:hyperlink>
      <w:r>
        <w:br/>
      </w:r>
    </w:p>
    <w:p w:rsidR="00FC343F" w:rsidRDefault="00FC343F">
      <w:pPr>
        <w:pStyle w:val="ConsPlusNormal"/>
        <w:ind w:firstLine="540"/>
        <w:jc w:val="both"/>
        <w:outlineLvl w:val="0"/>
      </w:pPr>
    </w:p>
    <w:p w:rsidR="00FC343F" w:rsidRDefault="00FC343F">
      <w:pPr>
        <w:pStyle w:val="ConsPlusTitle"/>
        <w:jc w:val="center"/>
      </w:pPr>
      <w:r>
        <w:t>УПРАВЛЕНИЕ ПО ГОСУДАРСТВЕННОМУ РЕГУЛИРОВАНИЮ</w:t>
      </w:r>
    </w:p>
    <w:p w:rsidR="00FC343F" w:rsidRDefault="00FC343F">
      <w:pPr>
        <w:pStyle w:val="ConsPlusTitle"/>
        <w:jc w:val="center"/>
      </w:pPr>
      <w:r>
        <w:t>ТАРИФОВ ВОРОНЕЖСКОЙ ОБЛАСТИ</w:t>
      </w:r>
    </w:p>
    <w:p w:rsidR="00FC343F" w:rsidRDefault="00FC343F">
      <w:pPr>
        <w:pStyle w:val="ConsPlusTitle"/>
        <w:ind w:firstLine="540"/>
        <w:jc w:val="both"/>
      </w:pPr>
    </w:p>
    <w:p w:rsidR="00FC343F" w:rsidRDefault="00FC343F">
      <w:pPr>
        <w:pStyle w:val="ConsPlusTitle"/>
        <w:jc w:val="center"/>
      </w:pPr>
      <w:r>
        <w:t>ПРИКАЗ</w:t>
      </w:r>
    </w:p>
    <w:p w:rsidR="00FC343F" w:rsidRDefault="00FC343F">
      <w:pPr>
        <w:pStyle w:val="ConsPlusTitle"/>
        <w:jc w:val="center"/>
      </w:pPr>
      <w:r>
        <w:t>от 17 января 2020 г. N 1/3</w:t>
      </w:r>
    </w:p>
    <w:p w:rsidR="00FC343F" w:rsidRDefault="00FC343F">
      <w:pPr>
        <w:pStyle w:val="ConsPlusTitle"/>
        <w:ind w:firstLine="540"/>
        <w:jc w:val="both"/>
      </w:pPr>
    </w:p>
    <w:p w:rsidR="00FC343F" w:rsidRDefault="00FC343F">
      <w:pPr>
        <w:pStyle w:val="ConsPlusTitle"/>
        <w:jc w:val="center"/>
      </w:pPr>
      <w:r>
        <w:t>О ВНЕСЕНИИ ИЗМЕНЕНИЙ В ПРИКАЗ УРТ ОТ 20.12.2019 N 56/22</w:t>
      </w:r>
    </w:p>
    <w:p w:rsidR="00FC343F" w:rsidRDefault="00FC343F">
      <w:pPr>
        <w:pStyle w:val="ConsPlusTitle"/>
        <w:jc w:val="center"/>
      </w:pPr>
      <w:r>
        <w:t>"ОБ УСТАНОВЛЕНИИ ПРЕДЕЛЬНОГО ЕДИНОГО ТАРИФА НА УСЛУГУ</w:t>
      </w:r>
    </w:p>
    <w:p w:rsidR="00FC343F" w:rsidRDefault="00FC343F">
      <w:pPr>
        <w:pStyle w:val="ConsPlusTitle"/>
        <w:jc w:val="center"/>
      </w:pPr>
      <w:r>
        <w:t xml:space="preserve">РЕГИОНАЛЬНОГО ОПЕРАТОРА ПО ОБРАЩЕНИЮ С </w:t>
      </w:r>
      <w:proofErr w:type="gramStart"/>
      <w:r>
        <w:t>ТВЕРДЫМИ</w:t>
      </w:r>
      <w:proofErr w:type="gramEnd"/>
    </w:p>
    <w:p w:rsidR="00FC343F" w:rsidRDefault="00FC343F">
      <w:pPr>
        <w:pStyle w:val="ConsPlusTitle"/>
        <w:jc w:val="center"/>
      </w:pPr>
      <w:r>
        <w:t>КОММУНАЛЬНЫМИ ОТХОДАМИ ДЛЯ ОТКРЫТОГО АКЦИОНЕРНОГО ОБЩЕСТВА</w:t>
      </w:r>
    </w:p>
    <w:p w:rsidR="00FC343F" w:rsidRDefault="00FC343F">
      <w:pPr>
        <w:pStyle w:val="ConsPlusTitle"/>
        <w:jc w:val="center"/>
      </w:pPr>
      <w:r>
        <w:t>"ЭКОТЕХНОЛОГИИ" НА ТЕРРИТОРИИ ГОРОДСКОГО ОКРУГА ГОРОД</w:t>
      </w:r>
    </w:p>
    <w:p w:rsidR="00FC343F" w:rsidRDefault="00FC343F">
      <w:pPr>
        <w:pStyle w:val="ConsPlusTitle"/>
        <w:jc w:val="center"/>
      </w:pPr>
      <w:r>
        <w:t>ВОРОНЕЖ, ГОРОДСКОГО ОКРУГА ГОРОД НОВОВОРОНЕЖ, КАШИРСКОГО,</w:t>
      </w:r>
    </w:p>
    <w:p w:rsidR="00FC343F" w:rsidRDefault="00FC343F">
      <w:pPr>
        <w:pStyle w:val="ConsPlusTitle"/>
        <w:jc w:val="center"/>
      </w:pPr>
      <w:r>
        <w:t>НИЖНЕДЕВИЦКОГО, НОВОУСМАНСКОГО, РАМОНСКОГО, РЕПЬЕВСКОГО,</w:t>
      </w:r>
    </w:p>
    <w:p w:rsidR="00FC343F" w:rsidRDefault="00FC343F">
      <w:pPr>
        <w:pStyle w:val="ConsPlusTitle"/>
        <w:jc w:val="center"/>
      </w:pPr>
      <w:r>
        <w:t>СЕМИЛУКСКОГО, ХОХОЛЬСКОГО МУНИЦИПАЛЬНЫХ РАЙОНОВ</w:t>
      </w:r>
    </w:p>
    <w:p w:rsidR="00FC343F" w:rsidRDefault="00FC343F">
      <w:pPr>
        <w:pStyle w:val="ConsPlusTitle"/>
        <w:jc w:val="center"/>
      </w:pPr>
      <w:proofErr w:type="gramStart"/>
      <w:r>
        <w:t>ВОРОНЕЖСКОЙ ОБЛАСТИ (ЗОНА ДЕЯТЕЛЬНОСТИ - ВОРОНЕЖСКИЙ</w:t>
      </w:r>
      <w:proofErr w:type="gramEnd"/>
    </w:p>
    <w:p w:rsidR="00FC343F" w:rsidRDefault="00FC343F">
      <w:pPr>
        <w:pStyle w:val="ConsPlusTitle"/>
        <w:jc w:val="center"/>
      </w:pPr>
      <w:proofErr w:type="gramStart"/>
      <w:r>
        <w:t>МЕЖМУНИЦИПАЛЬНЫЙ КЛАСТЕР), НА 2020 ГОД"</w:t>
      </w:r>
      <w:proofErr w:type="gramEnd"/>
    </w:p>
    <w:p w:rsidR="00FC343F" w:rsidRDefault="00FC343F">
      <w:pPr>
        <w:pStyle w:val="ConsPlusNormal"/>
        <w:ind w:firstLine="540"/>
        <w:jc w:val="both"/>
      </w:pPr>
    </w:p>
    <w:p w:rsidR="00FC343F" w:rsidRDefault="00FC343F">
      <w:pPr>
        <w:pStyle w:val="ConsPlusNormal"/>
        <w:ind w:firstLine="540"/>
        <w:jc w:val="both"/>
      </w:pPr>
      <w:r>
        <w:t xml:space="preserve">В </w:t>
      </w:r>
      <w:proofErr w:type="gramStart"/>
      <w:r>
        <w:t>целях</w:t>
      </w:r>
      <w:proofErr w:type="gramEnd"/>
      <w:r>
        <w:t xml:space="preserve"> исправления технической ошибки, руководствуясь </w:t>
      </w:r>
      <w:hyperlink r:id="rId6" w:history="1">
        <w:r>
          <w:rPr>
            <w:color w:val="0000FF"/>
          </w:rPr>
          <w:t>постановлением</w:t>
        </w:r>
      </w:hyperlink>
      <w:r>
        <w:t xml:space="preserve"> правительства Воронежской области от 18.05.2009 N 397 "Об утверждении Положения об управлении по государственному регулированию тарифов Воронежской области", и на основании решения Правления УРТ от 17 января 2020 года N 1/3 приказываю:</w:t>
      </w:r>
    </w:p>
    <w:p w:rsidR="00FC343F" w:rsidRDefault="00FC343F">
      <w:pPr>
        <w:pStyle w:val="ConsPlusNormal"/>
        <w:spacing w:before="220"/>
        <w:ind w:firstLine="540"/>
        <w:jc w:val="both"/>
      </w:pPr>
      <w:r>
        <w:t xml:space="preserve">1. </w:t>
      </w:r>
      <w:proofErr w:type="gramStart"/>
      <w:r>
        <w:t xml:space="preserve">Внести в </w:t>
      </w:r>
      <w:hyperlink r:id="rId7" w:history="1">
        <w:r>
          <w:rPr>
            <w:color w:val="0000FF"/>
          </w:rPr>
          <w:t>приказ</w:t>
        </w:r>
      </w:hyperlink>
      <w:r>
        <w:t xml:space="preserve"> УРТ от 20.12.2019 N 56/22 "Об установлении предельного единого тарифа на услугу регионального оператора по обращению с твердыми коммунальными отходами для открытого акционерного общества "Экотехнологии" на территории городского округа город Воронеж, городского округа город Нововоронеж, Каширского, Нижнедевицкого, Новоусманского, Рамонского, Репьевского, Семилукского, Хохольского муниципальных районов Воронежской области (зона деятельности - Воронежский межмуниципальный кластер), на 2020 год" следующие изменения</w:t>
      </w:r>
      <w:proofErr w:type="gramEnd"/>
      <w:r>
        <w:t>:</w:t>
      </w:r>
    </w:p>
    <w:p w:rsidR="00FC343F" w:rsidRDefault="00FC343F">
      <w:pPr>
        <w:pStyle w:val="ConsPlusNormal"/>
        <w:spacing w:before="220"/>
        <w:ind w:firstLine="540"/>
        <w:jc w:val="both"/>
      </w:pPr>
      <w:r>
        <w:t xml:space="preserve">1.1. В </w:t>
      </w:r>
      <w:hyperlink r:id="rId8" w:history="1">
        <w:r>
          <w:rPr>
            <w:color w:val="0000FF"/>
          </w:rPr>
          <w:t>преамбуле</w:t>
        </w:r>
      </w:hyperlink>
      <w:r>
        <w:t xml:space="preserve"> приказа после слов "Приказом Федеральной антимонопольной службы Российской Федерации от 21.11.2016 N 1638/16 "Об утверждении Методических указаний по расчету регулируемых тарифов в области обращения с твердыми коммунальными отходами"</w:t>
      </w:r>
      <w:proofErr w:type="gramStart"/>
      <w:r>
        <w:t>,"</w:t>
      </w:r>
      <w:proofErr w:type="gramEnd"/>
      <w:r>
        <w:t xml:space="preserve"> дополнить словами "</w:t>
      </w:r>
      <w:hyperlink r:id="rId9" w:history="1">
        <w:r>
          <w:rPr>
            <w:color w:val="0000FF"/>
          </w:rPr>
          <w:t>Законом</w:t>
        </w:r>
      </w:hyperlink>
      <w:r>
        <w:t xml:space="preserve"> Воронежской области от 04.02.2019 N 4-ОЗ "О льготных тарифах в области обращения с твердыми коммунальными отходами на территории Воронежской области",".</w:t>
      </w:r>
    </w:p>
    <w:p w:rsidR="00FC343F" w:rsidRDefault="00FC343F">
      <w:pPr>
        <w:pStyle w:val="ConsPlusNormal"/>
        <w:spacing w:before="220"/>
        <w:ind w:firstLine="540"/>
        <w:jc w:val="both"/>
      </w:pPr>
      <w:r>
        <w:t xml:space="preserve">1.2. В </w:t>
      </w:r>
      <w:hyperlink r:id="rId10" w:history="1">
        <w:proofErr w:type="gramStart"/>
        <w:r>
          <w:rPr>
            <w:color w:val="0000FF"/>
          </w:rPr>
          <w:t>абзацах</w:t>
        </w:r>
        <w:proofErr w:type="gramEnd"/>
        <w:r>
          <w:rPr>
            <w:color w:val="0000FF"/>
          </w:rPr>
          <w:t xml:space="preserve"> втором</w:t>
        </w:r>
      </w:hyperlink>
      <w:r>
        <w:t xml:space="preserve">, </w:t>
      </w:r>
      <w:hyperlink r:id="rId11" w:history="1">
        <w:r>
          <w:rPr>
            <w:color w:val="0000FF"/>
          </w:rPr>
          <w:t>третьем пункта 2</w:t>
        </w:r>
      </w:hyperlink>
      <w:r>
        <w:t xml:space="preserve"> решения слова "для населения" заменить словами "льготный тариф для населения".</w:t>
      </w:r>
    </w:p>
    <w:p w:rsidR="00FC343F" w:rsidRDefault="00FC343F">
      <w:pPr>
        <w:pStyle w:val="ConsPlusNormal"/>
        <w:spacing w:before="220"/>
        <w:ind w:firstLine="540"/>
        <w:jc w:val="both"/>
      </w:pPr>
      <w:r>
        <w:t xml:space="preserve">1.3. </w:t>
      </w:r>
      <w:hyperlink r:id="rId12" w:history="1">
        <w:r>
          <w:rPr>
            <w:color w:val="0000FF"/>
          </w:rPr>
          <w:t>Пункт 3</w:t>
        </w:r>
      </w:hyperlink>
      <w:r>
        <w:t xml:space="preserve"> приложения к приказу изложить в следующей редакции:</w:t>
      </w:r>
    </w:p>
    <w:p w:rsidR="00FC343F" w:rsidRDefault="00FC343F">
      <w:pPr>
        <w:pStyle w:val="ConsPlusNormal"/>
        <w:spacing w:before="220"/>
        <w:ind w:firstLine="540"/>
        <w:jc w:val="both"/>
      </w:pPr>
      <w:r>
        <w:t>"3. Планируемый объем обрабатываемых, обезвреживаемых и захораниваемых твердых коммунальных отходов.</w:t>
      </w:r>
    </w:p>
    <w:p w:rsidR="00FC343F" w:rsidRDefault="00FC34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6010"/>
        <w:gridCol w:w="1570"/>
      </w:tblGrid>
      <w:tr w:rsidR="00FC343F">
        <w:tc>
          <w:tcPr>
            <w:tcW w:w="725" w:type="dxa"/>
          </w:tcPr>
          <w:p w:rsidR="00FC343F" w:rsidRDefault="00FC343F">
            <w:pPr>
              <w:pStyle w:val="ConsPlusNormal"/>
              <w:jc w:val="center"/>
            </w:pPr>
            <w:r>
              <w:t xml:space="preserve">N </w:t>
            </w:r>
            <w:proofErr w:type="gramStart"/>
            <w:r>
              <w:t>п</w:t>
            </w:r>
            <w:proofErr w:type="gramEnd"/>
            <w:r>
              <w:t>/п</w:t>
            </w:r>
          </w:p>
        </w:tc>
        <w:tc>
          <w:tcPr>
            <w:tcW w:w="6010" w:type="dxa"/>
          </w:tcPr>
          <w:p w:rsidR="00FC343F" w:rsidRDefault="00FC343F">
            <w:pPr>
              <w:pStyle w:val="ConsPlusNormal"/>
              <w:jc w:val="center"/>
            </w:pPr>
            <w:r>
              <w:t>Наименование показателя</w:t>
            </w:r>
          </w:p>
        </w:tc>
        <w:tc>
          <w:tcPr>
            <w:tcW w:w="1570" w:type="dxa"/>
          </w:tcPr>
          <w:p w:rsidR="00FC343F" w:rsidRDefault="00FC343F">
            <w:pPr>
              <w:pStyle w:val="ConsPlusNormal"/>
              <w:jc w:val="center"/>
            </w:pPr>
            <w:r>
              <w:t>Величина показателя, тыс. куб. м</w:t>
            </w:r>
          </w:p>
        </w:tc>
      </w:tr>
      <w:tr w:rsidR="00FC343F">
        <w:tc>
          <w:tcPr>
            <w:tcW w:w="725" w:type="dxa"/>
          </w:tcPr>
          <w:p w:rsidR="00FC343F" w:rsidRDefault="00FC343F">
            <w:pPr>
              <w:pStyle w:val="ConsPlusNormal"/>
              <w:jc w:val="center"/>
            </w:pPr>
            <w:r>
              <w:t>1</w:t>
            </w:r>
          </w:p>
        </w:tc>
        <w:tc>
          <w:tcPr>
            <w:tcW w:w="6010" w:type="dxa"/>
          </w:tcPr>
          <w:p w:rsidR="00FC343F" w:rsidRDefault="00FC343F">
            <w:pPr>
              <w:pStyle w:val="ConsPlusNormal"/>
              <w:jc w:val="center"/>
            </w:pPr>
            <w:r>
              <w:t>2</w:t>
            </w:r>
          </w:p>
        </w:tc>
        <w:tc>
          <w:tcPr>
            <w:tcW w:w="1570" w:type="dxa"/>
          </w:tcPr>
          <w:p w:rsidR="00FC343F" w:rsidRDefault="00FC343F">
            <w:pPr>
              <w:pStyle w:val="ConsPlusNormal"/>
              <w:jc w:val="center"/>
            </w:pPr>
            <w:r>
              <w:t>3</w:t>
            </w:r>
          </w:p>
        </w:tc>
      </w:tr>
      <w:tr w:rsidR="00FC343F">
        <w:tc>
          <w:tcPr>
            <w:tcW w:w="725" w:type="dxa"/>
          </w:tcPr>
          <w:p w:rsidR="00FC343F" w:rsidRDefault="00FC343F">
            <w:pPr>
              <w:pStyle w:val="ConsPlusNormal"/>
              <w:jc w:val="center"/>
            </w:pPr>
            <w:r>
              <w:lastRenderedPageBreak/>
              <w:t>1</w:t>
            </w:r>
          </w:p>
        </w:tc>
        <w:tc>
          <w:tcPr>
            <w:tcW w:w="6010" w:type="dxa"/>
          </w:tcPr>
          <w:p w:rsidR="00FC343F" w:rsidRDefault="00FC343F">
            <w:pPr>
              <w:pStyle w:val="ConsPlusNormal"/>
            </w:pPr>
            <w:r>
              <w:t>Объем принимаемых твердых коммунальных отходов:</w:t>
            </w:r>
          </w:p>
        </w:tc>
        <w:tc>
          <w:tcPr>
            <w:tcW w:w="1570" w:type="dxa"/>
          </w:tcPr>
          <w:p w:rsidR="00FC343F" w:rsidRDefault="00FC343F">
            <w:pPr>
              <w:pStyle w:val="ConsPlusNormal"/>
              <w:jc w:val="center"/>
            </w:pPr>
            <w:r>
              <w:t>4 827,75</w:t>
            </w:r>
          </w:p>
        </w:tc>
      </w:tr>
      <w:tr w:rsidR="00FC343F">
        <w:tc>
          <w:tcPr>
            <w:tcW w:w="725" w:type="dxa"/>
          </w:tcPr>
          <w:p w:rsidR="00FC343F" w:rsidRDefault="00FC343F">
            <w:pPr>
              <w:pStyle w:val="ConsPlusNormal"/>
              <w:jc w:val="center"/>
            </w:pPr>
            <w:r>
              <w:t>1.1</w:t>
            </w:r>
          </w:p>
        </w:tc>
        <w:tc>
          <w:tcPr>
            <w:tcW w:w="6010" w:type="dxa"/>
          </w:tcPr>
          <w:p w:rsidR="00FC343F" w:rsidRDefault="00FC343F">
            <w:pPr>
              <w:pStyle w:val="ConsPlusNormal"/>
            </w:pPr>
            <w:r>
              <w:t>объем обрабатываемых твердых коммунальных отходов</w:t>
            </w:r>
          </w:p>
        </w:tc>
        <w:tc>
          <w:tcPr>
            <w:tcW w:w="1570" w:type="dxa"/>
          </w:tcPr>
          <w:p w:rsidR="00FC343F" w:rsidRDefault="00FC343F">
            <w:pPr>
              <w:pStyle w:val="ConsPlusNormal"/>
              <w:jc w:val="center"/>
            </w:pPr>
            <w:r>
              <w:t>4 293,92</w:t>
            </w:r>
          </w:p>
        </w:tc>
      </w:tr>
      <w:tr w:rsidR="00FC343F">
        <w:tc>
          <w:tcPr>
            <w:tcW w:w="725" w:type="dxa"/>
          </w:tcPr>
          <w:p w:rsidR="00FC343F" w:rsidRDefault="00FC343F">
            <w:pPr>
              <w:pStyle w:val="ConsPlusNormal"/>
              <w:jc w:val="center"/>
            </w:pPr>
            <w:r>
              <w:t>1.2</w:t>
            </w:r>
          </w:p>
        </w:tc>
        <w:tc>
          <w:tcPr>
            <w:tcW w:w="6010" w:type="dxa"/>
          </w:tcPr>
          <w:p w:rsidR="00FC343F" w:rsidRDefault="00FC343F">
            <w:pPr>
              <w:pStyle w:val="ConsPlusNormal"/>
            </w:pPr>
            <w:r>
              <w:t>объем обезвреживаемых твердых коммунальных отходов</w:t>
            </w:r>
          </w:p>
        </w:tc>
        <w:tc>
          <w:tcPr>
            <w:tcW w:w="1570" w:type="dxa"/>
          </w:tcPr>
          <w:p w:rsidR="00FC343F" w:rsidRDefault="00FC343F">
            <w:pPr>
              <w:pStyle w:val="ConsPlusNormal"/>
              <w:jc w:val="center"/>
            </w:pPr>
            <w:r>
              <w:t>-</w:t>
            </w:r>
          </w:p>
        </w:tc>
      </w:tr>
      <w:tr w:rsidR="00FC343F">
        <w:tc>
          <w:tcPr>
            <w:tcW w:w="725" w:type="dxa"/>
          </w:tcPr>
          <w:p w:rsidR="00FC343F" w:rsidRDefault="00FC343F">
            <w:pPr>
              <w:pStyle w:val="ConsPlusNormal"/>
              <w:jc w:val="center"/>
            </w:pPr>
            <w:r>
              <w:t>1.3</w:t>
            </w:r>
          </w:p>
        </w:tc>
        <w:tc>
          <w:tcPr>
            <w:tcW w:w="6010" w:type="dxa"/>
          </w:tcPr>
          <w:p w:rsidR="00FC343F" w:rsidRDefault="00FC343F">
            <w:pPr>
              <w:pStyle w:val="ConsPlusNormal"/>
            </w:pPr>
            <w:r>
              <w:t>объем захораниваемых твердых коммунальных отходов</w:t>
            </w:r>
          </w:p>
        </w:tc>
        <w:tc>
          <w:tcPr>
            <w:tcW w:w="1570" w:type="dxa"/>
          </w:tcPr>
          <w:p w:rsidR="00FC343F" w:rsidRDefault="00FC343F">
            <w:pPr>
              <w:pStyle w:val="ConsPlusNormal"/>
              <w:jc w:val="center"/>
            </w:pPr>
            <w:r>
              <w:t>4 517,73</w:t>
            </w:r>
          </w:p>
        </w:tc>
      </w:tr>
    </w:tbl>
    <w:p w:rsidR="00FC343F" w:rsidRDefault="00FC343F">
      <w:pPr>
        <w:pStyle w:val="ConsPlusNormal"/>
        <w:jc w:val="right"/>
      </w:pPr>
      <w:r>
        <w:t>".</w:t>
      </w:r>
    </w:p>
    <w:p w:rsidR="00FC343F" w:rsidRDefault="00FC343F">
      <w:pPr>
        <w:pStyle w:val="ConsPlusNormal"/>
        <w:ind w:firstLine="540"/>
        <w:jc w:val="both"/>
      </w:pPr>
    </w:p>
    <w:p w:rsidR="00FC343F" w:rsidRDefault="00FC343F">
      <w:pPr>
        <w:pStyle w:val="ConsPlusNormal"/>
        <w:ind w:firstLine="540"/>
        <w:jc w:val="both"/>
      </w:pPr>
      <w:r>
        <w:t xml:space="preserve">1.4. </w:t>
      </w:r>
      <w:hyperlink r:id="rId13" w:history="1">
        <w:r>
          <w:rPr>
            <w:color w:val="0000FF"/>
          </w:rPr>
          <w:t>Пункт 4</w:t>
        </w:r>
      </w:hyperlink>
      <w:r>
        <w:t xml:space="preserve"> приложения к приказу изложить в следующей редакции:</w:t>
      </w:r>
    </w:p>
    <w:p w:rsidR="00FC343F" w:rsidRDefault="00FC343F">
      <w:pPr>
        <w:pStyle w:val="ConsPlusNormal"/>
        <w:spacing w:before="220"/>
        <w:ind w:firstLine="540"/>
        <w:jc w:val="both"/>
      </w:pPr>
      <w:r>
        <w:t>"4. Объем финансовых потребностей, необходимых для реализации производственной программы на период с 01.01.2020 по 31.12.2020, - 2610349,71 тыс. рублей (без учета НДС).".</w:t>
      </w:r>
    </w:p>
    <w:p w:rsidR="00FC343F" w:rsidRDefault="00FC343F">
      <w:pPr>
        <w:pStyle w:val="ConsPlusNormal"/>
        <w:spacing w:before="220"/>
        <w:ind w:firstLine="540"/>
        <w:jc w:val="both"/>
      </w:pPr>
      <w:r>
        <w:t>2. Настоящий приказ вступает в силу по истечении десяти дней со дня его официального опубликования.</w:t>
      </w:r>
    </w:p>
    <w:p w:rsidR="00FC343F" w:rsidRDefault="00FC343F">
      <w:pPr>
        <w:pStyle w:val="ConsPlusNormal"/>
        <w:ind w:firstLine="540"/>
        <w:jc w:val="both"/>
      </w:pPr>
    </w:p>
    <w:p w:rsidR="00FC343F" w:rsidRDefault="00FC343F">
      <w:pPr>
        <w:pStyle w:val="ConsPlusNormal"/>
        <w:jc w:val="right"/>
      </w:pPr>
      <w:r>
        <w:t>Руководитель управления</w:t>
      </w:r>
    </w:p>
    <w:p w:rsidR="00FC343F" w:rsidRDefault="00FC343F">
      <w:pPr>
        <w:pStyle w:val="ConsPlusNormal"/>
        <w:jc w:val="right"/>
      </w:pPr>
      <w:r>
        <w:t>Е.В.БАЖАНОВ</w:t>
      </w:r>
    </w:p>
    <w:p w:rsidR="00FC343F" w:rsidRDefault="00FC343F">
      <w:pPr>
        <w:pStyle w:val="ConsPlusNormal"/>
        <w:ind w:firstLine="540"/>
        <w:jc w:val="both"/>
      </w:pPr>
    </w:p>
    <w:p w:rsidR="00FC343F" w:rsidRDefault="00FC343F">
      <w:pPr>
        <w:pStyle w:val="ConsPlusNormal"/>
        <w:ind w:firstLine="540"/>
        <w:jc w:val="both"/>
      </w:pPr>
    </w:p>
    <w:p w:rsidR="00FC343F" w:rsidRDefault="00FC343F">
      <w:pPr>
        <w:pStyle w:val="ConsPlusNormal"/>
        <w:pBdr>
          <w:top w:val="single" w:sz="6" w:space="0" w:color="auto"/>
        </w:pBdr>
        <w:spacing w:before="100" w:after="100"/>
        <w:jc w:val="both"/>
        <w:rPr>
          <w:sz w:val="2"/>
          <w:szCs w:val="2"/>
        </w:rPr>
      </w:pPr>
    </w:p>
    <w:p w:rsidR="00AB24D7" w:rsidRDefault="00AB24D7">
      <w:bookmarkStart w:id="0" w:name="_GoBack"/>
      <w:bookmarkEnd w:id="0"/>
    </w:p>
    <w:sectPr w:rsidR="00AB24D7" w:rsidSect="002C5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3F"/>
    <w:rsid w:val="00AB24D7"/>
    <w:rsid w:val="00FC3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4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4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343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4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4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34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35A0813BB725B24B4999CAE854CD2358C5D46DA67D2EAB95706B8A11ACC03868132BF718FD196BF8996CF01547B30C1208FA838E396A5E3A2644l3e2I" TargetMode="External"/><Relationship Id="rId13" Type="http://schemas.openxmlformats.org/officeDocument/2006/relationships/hyperlink" Target="consultantplus://offline/ref=8235A0813BB725B24B4999CAE854CD2358C5D46DA67D2EAB95706B8A11ACC03868132BF718FD196BF89969F01547B30C1208FA838E396A5E3A2644l3e2I" TargetMode="External"/><Relationship Id="rId3" Type="http://schemas.openxmlformats.org/officeDocument/2006/relationships/settings" Target="settings.xml"/><Relationship Id="rId7" Type="http://schemas.openxmlformats.org/officeDocument/2006/relationships/hyperlink" Target="consultantplus://offline/ref=8235A0813BB725B24B4999CAE854CD2358C5D46DA67D2EAB95706B8A11ACC03868132BE518A5156BFC876CF60011E24Al4e7I" TargetMode="External"/><Relationship Id="rId12" Type="http://schemas.openxmlformats.org/officeDocument/2006/relationships/hyperlink" Target="consultantplus://offline/ref=8235A0813BB725B24B4999CAE854CD2358C5D46DA67D2EAB95706B8A11ACC03868132BF718FD196BF8996FF11547B30C1208FA838E396A5E3A2644l3e2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235A0813BB725B24B4999CAE854CD2358C5D46DA77023AB94706B8A11ACC03868132BE518A5156BFC876CF60011E24Al4e7I" TargetMode="External"/><Relationship Id="rId11" Type="http://schemas.openxmlformats.org/officeDocument/2006/relationships/hyperlink" Target="consultantplus://offline/ref=8235A0813BB725B24B4999CAE854CD2358C5D46DA67D2EAB95706B8A11ACC03868132BF718FD196BF8996CFC1547B30C1208FA838E396A5E3A2644l3e2I"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8235A0813BB725B24B4999CAE854CD2358C5D46DA67D2EAB95706B8A11ACC03868132BF718FD196BF8996CF31547B30C1208FA838E396A5E3A2644l3e2I" TargetMode="External"/><Relationship Id="rId4" Type="http://schemas.openxmlformats.org/officeDocument/2006/relationships/webSettings" Target="webSettings.xml"/><Relationship Id="rId9" Type="http://schemas.openxmlformats.org/officeDocument/2006/relationships/hyperlink" Target="consultantplus://offline/ref=8235A0813BB725B24B4999CAE854CD2358C5D46DA77122AA95706B8A11ACC03868132BE518A5156BFC876CF60011E24Al4e7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Ю.В.</dc:creator>
  <cp:lastModifiedBy>Чернова Ю.В.</cp:lastModifiedBy>
  <cp:revision>1</cp:revision>
  <dcterms:created xsi:type="dcterms:W3CDTF">2020-02-04T08:30:00Z</dcterms:created>
  <dcterms:modified xsi:type="dcterms:W3CDTF">2020-02-04T08:31:00Z</dcterms:modified>
</cp:coreProperties>
</file>