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pStyle w:val="Heading1"/>
        <w:keepNext w:val="0"/>
        <w:keepLines w:val="0"/>
        <w:widowControl/>
        <w:shd w:val="clear" w:color="auto" w:fill="FFFFFF"/>
        <w:spacing w:before="0" w:after="300"/>
        <w:ind w:left="0" w:right="0" w:firstLine="0"/>
        <w:jc w:val="left"/>
        <w:rPr>
          <w:rFonts w:ascii="Verdana" w:eastAsia="Verdana" w:hAnsi="Verdana" w:cs="Verdana"/>
          <w:b w:val="0"/>
          <w:bCs w:val="0"/>
          <w:i w:val="0"/>
          <w:iCs w:val="0"/>
          <w:caps w:val="0"/>
          <w:color w:val="000000"/>
          <w:spacing w:val="0"/>
          <w:sz w:val="38"/>
          <w:szCs w:val="38"/>
        </w:rPr>
      </w:pPr>
      <w:r>
        <w:rPr>
          <w:rFonts w:ascii="Verdana" w:eastAsia="Verdana" w:hAnsi="Verdana" w:cs="Verdana"/>
          <w:b w:val="0"/>
          <w:bCs w:val="0"/>
          <w:iCs w:val="0"/>
          <w:caps w:val="0"/>
          <w:color w:val="000000"/>
          <w:spacing w:val="0"/>
          <w:sz w:val="38"/>
          <w:szCs w:val="38"/>
        </w:rPr>
        <w:t>ПОСТАНОВЛЕНИЕ от 30 декабря 2021 г. № 1251</w:t>
      </w:r>
    </w:p>
    <w:p>
      <w:pPr>
        <w:pStyle w:val="news-date-time"/>
        <w:widowControl/>
        <w:shd w:val="clear" w:color="auto" w:fill="FFFFFF"/>
        <w:spacing w:after="240"/>
        <w:ind w:firstLine="0"/>
        <w:jc w:val="left"/>
        <w:rPr>
          <w:rFonts w:ascii="Verdana" w:eastAsia="Verdana" w:hAnsi="Verdana" w:cs="Verdana"/>
          <w:b w:val="0"/>
          <w:bCs w:val="0"/>
          <w:i w:val="0"/>
          <w:iCs w:val="0"/>
          <w:caps w:val="0"/>
          <w:color w:val="486DAA"/>
          <w:spacing w:val="0"/>
          <w:sz w:val="20"/>
          <w:szCs w:val="20"/>
        </w:rPr>
      </w:pPr>
      <w:r>
        <w:rPr>
          <w:rFonts w:ascii="Verdana" w:eastAsia="Verdana" w:hAnsi="Verdana" w:cs="Verdana"/>
          <w:b w:val="0"/>
          <w:bCs w:val="0"/>
          <w:i w:val="0"/>
          <w:iCs w:val="0"/>
          <w:caps w:val="0"/>
          <w:color w:val="486DAA"/>
          <w:spacing w:val="0"/>
          <w:sz w:val="20"/>
          <w:szCs w:val="20"/>
        </w:rPr>
        <w:t>14.01.2022</w:t>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r>
        <w:rPr>
          <w:rFonts w:ascii="Verdana" w:eastAsia="Verdana" w:hAnsi="Verdana" w:cs="Verdana"/>
          <w:b w:val="0"/>
          <w:bCs w:val="0"/>
          <w:i w:val="0"/>
          <w:iCs w:val="0"/>
          <w:caps w:val="0"/>
          <w:strike w:val="0"/>
          <w:color w:val="000000"/>
          <w:spacing w:val="0"/>
          <w:sz w:val="20"/>
          <w:szCs w:val="20"/>
          <w:u w:val="none"/>
          <w:bdr w:val="none" w:sz="0" w:space="0" w:color="auto"/>
        </w:rPr>
        <w:drawing>
          <wp:inline>
            <wp:extent cx="571500" cy="571500"/>
            <wp:docPr id="100001" name=""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571500"/>
                    </a:xfrm>
                    <a:prstGeom prst="rect">
                      <a:avLst/>
                    </a:prstGeom>
                    <a:ln>
                      <a:noFill/>
                    </a:ln>
                  </pic:spPr>
                </pic:pic>
              </a:graphicData>
            </a:graphic>
          </wp:inline>
        </w:drawing>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АДМИНИСТРАЦИЯ ГОРОДСКОГО ОКРУГА </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 ВОРОНЕЖ</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ПОСТАНОВЛЕНИЕ</w:t>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r>
        <w:rPr>
          <w:rFonts w:ascii="Verdana" w:eastAsia="Verdana" w:hAnsi="Verdana" w:cs="Verdana"/>
          <w:b w:val="0"/>
          <w:bCs w:val="0"/>
          <w:i w:val="0"/>
          <w:iCs w:val="0"/>
          <w:caps w:val="0"/>
          <w:color w:val="000000"/>
          <w:spacing w:val="0"/>
          <w:sz w:val="20"/>
          <w:szCs w:val="20"/>
        </w:rPr>
        <w:t>от 30 декабря 2021 г. № 1251</w:t>
      </w:r>
    </w:p>
    <w:p>
      <w:pPr>
        <w:spacing w:before="240" w:after="240"/>
      </w:pPr>
      <w:r>
        <w:rPr>
          <w:rFonts w:ascii="Verdana" w:eastAsia="Verdana" w:hAnsi="Verdana" w:cs="Verdana"/>
          <w:b w:val="0"/>
          <w:bCs w:val="0"/>
          <w:i w:val="0"/>
          <w:iCs w:val="0"/>
          <w:caps w:val="0"/>
          <w:color w:val="000000"/>
          <w:spacing w:val="0"/>
          <w:sz w:val="20"/>
          <w:szCs w:val="20"/>
          <w:shd w:val="clear" w:color="auto" w:fill="FFFFFF"/>
        </w:rPr>
        <w:t>г. Воронеж</w:t>
      </w:r>
    </w:p>
    <w:p>
      <w:pPr>
        <w:widowControl/>
        <w:ind w:firstLine="0"/>
        <w:jc w:val="left"/>
        <w:rPr>
          <w:rFonts w:ascii="Verdana" w:eastAsia="Verdana" w:hAnsi="Verdana" w:cs="Verdana"/>
          <w:b w:val="0"/>
          <w:bCs w:val="0"/>
          <w:i w:val="0"/>
          <w:iCs w:val="0"/>
          <w:caps w:val="0"/>
          <w:color w:val="000000"/>
          <w:spacing w:val="0"/>
          <w:sz w:val="20"/>
          <w:szCs w:val="20"/>
          <w:shd w:val="clear" w:color="auto" w:fill="FFFFFF"/>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О внесении изменений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в постановление администрации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городского округа город Воронеж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от 28.03.2012 № 240</w:t>
      </w:r>
      <w:r>
        <w:rPr>
          <w:rFonts w:ascii="Verdana" w:eastAsia="Verdana" w:hAnsi="Verdana" w:cs="Verdana"/>
          <w:b/>
          <w:bCs/>
          <w:i w:val="0"/>
          <w:iCs w:val="0"/>
          <w:caps w:val="0"/>
          <w:color w:val="1D5586"/>
          <w:spacing w:val="0"/>
          <w:sz w:val="20"/>
          <w:szCs w:val="20"/>
        </w:rPr>
        <w:br/>
      </w:r>
      <w:r>
        <w:rPr>
          <w:rFonts w:ascii="Verdana" w:eastAsia="Verdana" w:hAnsi="Verdana" w:cs="Verdana"/>
          <w:b w:val="0"/>
          <w:bCs w:val="0"/>
          <w:i w:val="0"/>
          <w:iCs w:val="0"/>
          <w:caps w:val="0"/>
          <w:color w:val="000000"/>
          <w:spacing w:val="0"/>
          <w:sz w:val="20"/>
          <w:szCs w:val="20"/>
        </w:rPr>
        <w:t>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постановляет:</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внести в постановление администрации городского округа город Воронеж от 28.03.2012 № 240 «О порядке назначения и выплаты дотации на питание родителям (законным представителям) обучающихся в общеобразовательных учреждениях, расположенных на территории городского округа город Воронеж» следующие изменения:</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пункты 2.2 и 2.3 раздела 2 «Условия назначения дотации» Порядка назначения и выплаты дотации на питание родителям (законным представителям) обучающихся в общеобразовательных учреждениях, расположенных на территории городского округа город Воронеж, изложить в следующей редакции:</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«2.2. Дотация составляет:</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а) 68,5 рубля в день:</w:t>
      </w:r>
    </w:p>
    <w:p>
      <w:pPr>
        <w:widowControl/>
        <w:pBdr>
          <w:left w:val="none" w:sz="0" w:space="15" w:color="auto"/>
          <w:right w:val="none" w:sz="0" w:space="15" w:color="auto"/>
        </w:pBdr>
        <w:shd w:val="clear" w:color="auto" w:fill="FFFFFF"/>
        <w:spacing w:before="196" w:after="17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обучающимся 1-4-х классов (первая смена) – на завтрак;</w:t>
      </w:r>
    </w:p>
    <w:p>
      <w:pPr>
        <w:widowControl/>
        <w:pBdr>
          <w:left w:val="none" w:sz="0" w:space="15" w:color="auto"/>
          <w:right w:val="none" w:sz="0" w:space="15" w:color="auto"/>
        </w:pBdr>
        <w:shd w:val="clear" w:color="auto" w:fill="FFFFFF"/>
        <w:spacing w:after="17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обучающимся 1-4-х классов (вторая смена) – на обед;</w:t>
      </w:r>
    </w:p>
    <w:p>
      <w:pPr>
        <w:widowControl/>
        <w:pBdr>
          <w:left w:val="none" w:sz="0" w:space="15" w:color="auto"/>
          <w:right w:val="none" w:sz="0" w:space="15" w:color="auto"/>
        </w:pBdr>
        <w:shd w:val="clear" w:color="auto" w:fill="FFFFFF"/>
        <w:spacing w:after="17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обучающимся в немуниципальных общеобразовательных учреждениях, расположенных на территории городского округа город Воронеж (кроме специальных коррекционных учреждений и учреждений интернатного типа), имеющих государственную аккредитацию, посещающим группы продленного дня;</w:t>
      </w:r>
    </w:p>
    <w:p>
      <w:pPr>
        <w:widowControl/>
        <w:pBdr>
          <w:left w:val="none" w:sz="0" w:space="15" w:color="auto"/>
          <w:right w:val="none" w:sz="0" w:space="15" w:color="auto"/>
        </w:pBdr>
        <w:shd w:val="clear" w:color="auto" w:fill="FFFFFF"/>
        <w:spacing w:after="17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обучающимся 5-11-х классов из социально незащищенных семей – на завтрак;</w:t>
      </w:r>
    </w:p>
    <w:p>
      <w:pPr>
        <w:widowControl/>
        <w:pBdr>
          <w:left w:val="none" w:sz="0" w:space="15" w:color="auto"/>
          <w:right w:val="none" w:sz="0" w:space="15" w:color="auto"/>
        </w:pBdr>
        <w:shd w:val="clear" w:color="auto" w:fill="FFFFFF"/>
        <w:spacing w:after="17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обучающимся 1-11-х классов, состоящим на диспансерном учете в противотуберкулезном диспансере, – на обед;</w:t>
      </w:r>
    </w:p>
    <w:p>
      <w:pPr>
        <w:widowControl/>
        <w:pBdr>
          <w:left w:val="none" w:sz="0" w:space="15" w:color="auto"/>
          <w:right w:val="none" w:sz="0" w:space="15" w:color="auto"/>
        </w:pBdr>
        <w:shd w:val="clear" w:color="auto" w:fill="FFFFFF"/>
        <w:spacing w:after="196"/>
        <w:ind w:left="525" w:right="300" w:firstLine="0"/>
        <w:jc w:val="left"/>
        <w:rPr>
          <w:rFonts w:ascii="Verdana" w:eastAsia="Verdana" w:hAnsi="Verdana" w:cs="Verdana"/>
          <w:b w:val="0"/>
          <w:bCs w:val="0"/>
          <w:i w:val="0"/>
          <w:iCs w:val="0"/>
          <w:caps w:val="0"/>
          <w:color w:val="111111"/>
          <w:spacing w:val="0"/>
          <w:sz w:val="20"/>
          <w:szCs w:val="20"/>
        </w:rPr>
      </w:pPr>
      <w:r>
        <w:rPr>
          <w:rFonts w:ascii="Verdana" w:eastAsia="Verdana" w:hAnsi="Verdana" w:cs="Verdana"/>
          <w:b w:val="0"/>
          <w:bCs w:val="0"/>
          <w:i w:val="0"/>
          <w:iCs w:val="0"/>
          <w:caps w:val="0"/>
          <w:color w:val="111111"/>
          <w:spacing w:val="0"/>
          <w:sz w:val="20"/>
          <w:szCs w:val="20"/>
        </w:rPr>
        <w:t>- спортсменам, имеющим звания «мастер спорта», «кандидат в мастера спорта», первый, второй, третий спортивные разряды, – учащимся муниципальных бюджетных учреждений дополнительного образования, муниципальных бюджетных учреждений спортивных школ, муниципальных бюджетных учреждений спортивных школ олимпийского резерва, государственных бюджетных учреждений Воронежской области спортивных школ, государственных бюджетных учреждений Воронежской области спортивных школ олимпийского резерва – на обед;</w:t>
      </w: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r>
        <w:rPr>
          <w:rFonts w:ascii="Verdana" w:eastAsia="Verdana" w:hAnsi="Verdana" w:cs="Verdana"/>
          <w:b w:val="0"/>
          <w:bCs w:val="0"/>
          <w:i w:val="0"/>
          <w:iCs w:val="0"/>
          <w:caps w:val="0"/>
          <w:color w:val="000000"/>
          <w:spacing w:val="0"/>
          <w:sz w:val="20"/>
          <w:szCs w:val="20"/>
        </w:rPr>
        <w:t>б) юношам допризывного возраста, имеющим дефицит массы тела, – 68,5 рубля в день на завтрак и 68,5 рубля в день на обед;</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в) учащимся с ограниченными возможностями здоровья – 68,5 рубля в день на завтрак и 68,5 рубля в день на обед.</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2.3. Суммарный размер дотации родителю (законному представителю) на питание одного обучающегося не может превышать 137,0 рубля в расчете на один день обучения исходя из пятидневной учебной недели.».</w:t>
      </w:r>
    </w:p>
    <w:p>
      <w:pPr>
        <w:widowControl/>
        <w:ind w:firstLine="0"/>
        <w:jc w:val="left"/>
        <w:rPr>
          <w:rFonts w:ascii="Verdana" w:eastAsia="Verdana" w:hAnsi="Verdana" w:cs="Verdana"/>
          <w:b w:val="0"/>
          <w:bCs w:val="0"/>
          <w:i w:val="0"/>
          <w:iCs w:val="0"/>
          <w:caps w:val="0"/>
          <w:color w:val="000000"/>
          <w:spacing w:val="0"/>
          <w:sz w:val="20"/>
          <w:szCs w:val="20"/>
          <w:shd w:val="clear" w:color="auto" w:fill="FFFFFF"/>
        </w:rPr>
      </w:pPr>
      <w:r>
        <w:rPr>
          <w:rFonts w:ascii="Verdana" w:eastAsia="Verdana" w:hAnsi="Verdana" w:cs="Verdana"/>
          <w:b w:val="0"/>
          <w:bCs w:val="0"/>
          <w:i w:val="0"/>
          <w:iCs w:val="0"/>
          <w:caps w:val="0"/>
          <w:color w:val="000000"/>
          <w:spacing w:val="0"/>
          <w:sz w:val="20"/>
          <w:szCs w:val="20"/>
          <w:shd w:val="clear" w:color="auto" w:fill="FFFFFF"/>
        </w:rPr>
        <w:br/>
      </w:r>
    </w:p>
    <w:p>
      <w:pPr>
        <w:widowControl/>
        <w:shd w:val="clear" w:color="auto" w:fill="FFFFFF"/>
        <w:spacing w:before="196"/>
        <w:ind w:firstLine="0"/>
        <w:jc w:val="right"/>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Глава</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городского округа</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 Воронеж В.Ю. Кстенин</w:t>
      </w:r>
    </w:p>
    <w:p>
      <w:pPr>
        <w:widowControl/>
        <w:ind w:firstLine="0"/>
        <w:jc w:val="left"/>
        <w:rPr>
          <w:rFonts w:ascii="Verdana" w:eastAsia="Verdana" w:hAnsi="Verdana" w:cs="Verdana"/>
          <w:b w:val="0"/>
          <w:bCs w:val="0"/>
          <w:i w:val="0"/>
          <w:iCs w:val="0"/>
          <w:caps w:val="0"/>
          <w:color w:val="000000"/>
          <w:spacing w:val="0"/>
          <w:sz w:val="20"/>
          <w:szCs w:val="20"/>
          <w:shd w:val="clear" w:color="auto" w:fill="FFFFFF"/>
        </w:rPr>
      </w:pPr>
    </w:p>
    <w:p>
      <w:pPr>
        <w:shd w:val="clear" w:color="auto" w:fill="FFFFFF"/>
        <w:bidi w:val="0"/>
        <w:spacing w:before="0" w:after="0" w:line="432" w:lineRule="atLeast"/>
        <w:ind w:firstLine="708"/>
        <w:jc w:val="both"/>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news-date-time">
    <w:name w:val="news-date-tim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