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before="0" w:after="300" w:beforeAutospacing="0" w:afterAutospacing="0"/>
        <w:ind w:left="0" w:right="0"/>
        <w:rPr>
          <w:rFonts w:ascii="Verdana" w:hAnsi="Verdana"/>
          <w:sz w:val="38"/>
          <w:shd w:val="clear" w:color="auto" w:fill="FFFFFF"/>
        </w:rPr>
      </w:pPr>
      <w:r>
        <w:rPr>
          <w:rFonts w:ascii="Verdana" w:hAnsi="Verdana"/>
          <w:sz w:val="38"/>
          <w:shd w:val="clear" w:color="auto" w:fill="FFFFFF"/>
        </w:rPr>
        <w:t>ПОСТАНОВЛЕНИЕ от 27 января 2022 г. № 86</w:t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color w:val="486DAA"/>
          <w:sz w:val="20"/>
          <w:shd w:val="clear" w:color="auto" w:fill="FFFFFF"/>
        </w:rPr>
      </w:pPr>
      <w:r>
        <w:rPr>
          <w:rFonts w:ascii="Verdana" w:hAnsi="Verdana"/>
          <w:color w:val="486DAA"/>
          <w:sz w:val="20"/>
          <w:shd w:val="clear" w:color="auto" w:fill="FFFFFF"/>
        </w:rPr>
        <w:t>01.02.2022</w:t>
      </w:r>
    </w:p>
    <w:p>
      <w:pPr>
        <w:shd w:val="clear" w:fill="FFFFFF"/>
        <w:spacing w:lineRule="auto" w:line="240" w:beforeAutospacing="0" w:afterAutospacing="0"/>
        <w:jc w:val="center"/>
      </w:pPr>
      <w:r>
        <w:drawing>
          <wp:inline xmlns:wp="http://schemas.openxmlformats.org/drawingml/2006/wordprocessingDrawing">
            <wp:extent cx="571500" cy="57150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АДМИНИСТРАЦИЯ ГОРОДСКОГО ОКРУГА 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ПОСТАНОВЛЕНИЕ</w:t>
      </w:r>
    </w:p>
    <w:p>
      <w:pPr>
        <w:shd w:val="clear" w:fill="FFFFFF"/>
        <w:spacing w:lineRule="auto" w:line="240" w:beforeAutospacing="0" w:afterAutospacing="0"/>
        <w:jc w:val="center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от 27 января 2022 г. № 86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г. Воронеж</w:t>
      </w:r>
    </w:p>
    <w:p>
      <w:pPr>
        <w:shd w:val="clear" w:fill="FFFFFF"/>
        <w:spacing w:lineRule="auto" w:line="240" w:beforeAutospacing="0" w:afterAutospacing="0"/>
        <w:ind w:left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О мерах по оказанию содействия </w:t>
        <w:br w:type="textWrapping"/>
        <w:t xml:space="preserve">военным комиссариатам районов </w:t>
        <w:br w:type="textWrapping"/>
        <w:t xml:space="preserve">города Воронежа в работе </w:t>
        <w:br w:type="textWrapping"/>
        <w:t xml:space="preserve">по отбору граждан, пребывающих в запасе, </w:t>
        <w:br w:type="textWrapping"/>
        <w:t xml:space="preserve">для поступления в мобилизационный </w:t>
        <w:br w:type="textWrapping"/>
        <w:t>людской резерв</w:t>
        <w:br w:type="textWrapping"/>
        <w:br w:type="textWrapping"/>
      </w:r>
      <w:r>
        <w:rPr>
          <w:rFonts w:ascii="Verdana" w:hAnsi="Verdana"/>
          <w:sz w:val="20"/>
          <w:shd w:val="clear" w:color="auto" w:fill="FFFFFF"/>
        </w:rPr>
        <w:t>В соответствии с требованиями Федерального закона от 28.03.1998 № 53-ФЗ «О воинской обязанности и военной службе», Указа Президента Российской Федерации от 17.07.2015 № 370 «О создании мобилизационного людского резерва Вооруженных Сил Российской Федерации», во исполнение распоряжения правительства Воронежской области от 08.04.2016 № 9-р-ДСП «О проведении мероприятий, связанных с поступлением граждан Воронежской области в мобилизационный людской резерв», в целях оказания содействия военным комиссариатам районов города Воронежа в работе по отбору граждан, пребывающих в запасе, для поступления в мобилизационный людской резерв администрация городского округа город Воронеж постановляет:</w:t>
        <w:br w:type="textWrapping"/>
        <w:br w:type="textWrapping"/>
        <w:t>1. Первым заместителям главы администрации, заместителям главы администрации городского округа город Воронеж:</w:t>
        <w:br w:type="textWrapping"/>
        <w:br w:type="textWrapping"/>
        <w:t>1.1. Организовать в подведомственных муниципальных организациях проведение информационно-агитационной работы по привлечению граждан, пребывающих в запасе, для поступления в мобилизационный людской резерв Вооруженных Сил Российской Федерации (далее – мобилизационный людской резерв), разъяснить руководителям организаций важность выполнения поставленной государственной задачи.</w:t>
        <w:br w:type="textWrapping"/>
        <w:br w:type="textWrapping"/>
        <w:t xml:space="preserve">1.2. Обязать руководителей муниципальных организаций ежемесячно к 13 и 28 числу представлять в отдел по мобилизационной работе администрации городского округа город Воронеж по электронной почте </w:t>
      </w:r>
      <w:hyperlink xmlns:r="http://schemas.openxmlformats.org/officeDocument/2006/relationships" r:id="R2">
        <w:r>
          <w:rPr>
            <w:rStyle w:val="C2"/>
            <w:rFonts w:ascii="Verdana" w:hAnsi="Verdana"/>
            <w:color w:val="1D5586"/>
            <w:sz w:val="20"/>
            <w:u w:val="single"/>
            <w:shd w:val="clear" w:color="auto" w:fill="FFFFFF"/>
          </w:rPr>
          <w:t>avpavlov@cityhall.voronezh-city.ru</w:t>
        </w:r>
      </w:hyperlink>
      <w:r>
        <w:rPr>
          <w:rFonts w:ascii="Verdana" w:hAnsi="Verdana"/>
          <w:sz w:val="20"/>
          <w:shd w:val="clear" w:color="auto" w:fill="FFFFFF"/>
        </w:rPr>
        <w:t xml:space="preserve"> сведения о ходе работы по привлечению граждан из числа работников организации в мобилизационный людской резерв по форме:</w:t>
      </w:r>
    </w:p>
    <w:p>
      <w:pPr>
        <w:numPr>
          <w:ilvl w:val="0"/>
          <w:numId w:val="1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наименование организации;</w:t>
      </w:r>
    </w:p>
    <w:p>
      <w:pPr>
        <w:numPr>
          <w:ilvl w:val="0"/>
          <w:numId w:val="1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количество граждан, пребывающих в запасе;</w:t>
      </w:r>
    </w:p>
    <w:p>
      <w:pPr>
        <w:numPr>
          <w:ilvl w:val="0"/>
          <w:numId w:val="1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количество граждан, изъявивших желание поступить в мобилизационный людской резерв;</w:t>
      </w:r>
    </w:p>
    <w:p>
      <w:pPr>
        <w:numPr>
          <w:ilvl w:val="0"/>
          <w:numId w:val="1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количество граждан, направленных в военные комиссариаты для оформления необходимых документов (с указанием военного комиссариата соответствующего района).</w:t>
      </w:r>
    </w:p>
    <w:p>
      <w:pPr>
        <w:shd w:val="clear" w:fill="FFFFFF"/>
        <w:spacing w:lineRule="auto" w:line="240" w:beforeAutospacing="0" w:afterAutospacing="0"/>
        <w:ind w:left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2. Руководителю управления по работе с административными органами и структурами гражданского общества администрации городского округа город Воронеж организовать взаимодействие с казачьими обществами городского округа город Воронеж по привлечению граждан, пребывающих в запасе, входящих в их состав, для поступления в мобилизационный людской резерв.</w:t>
        <w:br w:type="textWrapping"/>
        <w:br w:type="textWrapping"/>
        <w:t>3. Руководителю управления развития предпринимательства, потребительского рынка и инновационной политики администрации городского округа город Воронеж на Совете директоров крупных промышленных предприятий городского округа город Воронеж довести до сведения руководителей промышленных предприятий города и письменно направить им информацию о необходимости проведения работы по привлечению работников из числа граждан, пребывающих в запасе, для поступления в мобилизационный людской резерв.</w:t>
        <w:br w:type="textWrapping"/>
        <w:br w:type="textWrapping"/>
        <w:t>4. Руководителю управления информации администрации городского округа город Воронеж организовать периодическое размещение в средствах массовой информации городского округа информации, связанной с поступлением граждан, пребывающих в запасе, в мобилизационный людской резерв.</w:t>
        <w:br w:type="textWrapping"/>
        <w:br w:type="textWrapping"/>
        <w:t>5. Руководителю управления транспорта администрации городского округа город Воронеж организовать размещение в салонах автобусов, работающих в системе городских пассажирских перевозок, информации, связанной с поступлением граждан, пребывающих в запасе, в мобилизационный людской резерв.</w:t>
        <w:br w:type="textWrapping"/>
        <w:br w:type="textWrapping"/>
        <w:t>6. Руководителям управ районов городского округа город Воронеж:</w:t>
        <w:br w:type="textWrapping"/>
        <w:br w:type="textWrapping"/>
        <w:t>6.1. Организовать взаимодействие с военными комиссариатами районов города Воронежа по вопросу обеспечения проведения работы по отбору граждан, пребывающих в запасе, в мобилизационный людской резерв.</w:t>
        <w:br w:type="textWrapping"/>
        <w:br w:type="textWrapping"/>
        <w:t>6.2. Организовать в подведомственных муниципальных организациях проведение информационно-агитационной работы по привлечению работающих граждан для поступления в мобилизационный людской резерв.</w:t>
        <w:br w:type="textWrapping"/>
        <w:br w:type="textWrapping"/>
        <w:t>6.3. Организовать взаимодействие с руководителями организаций, осуществляющих эксплуатацию жилых помещений, по вопросу размещения на информационных стендах многоквартирных домов информации, связанной с поступлением граждан в мобилизационный людской резерв.</w:t>
        <w:br w:type="textWrapping"/>
        <w:br w:type="textWrapping"/>
        <w:t>6.4. Совместно с военными комиссариатами районов города Воронежа:</w:t>
      </w:r>
    </w:p>
    <w:p>
      <w:pPr>
        <w:numPr>
          <w:ilvl w:val="0"/>
          <w:numId w:val="2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провести рабочие встречи с руководителями организаций, расположенных на подведомственной территории, по вопросам оказания содействия в работе по привлечению работающих в организациях граждан в мобилизационный людской резерв;</w:t>
      </w:r>
    </w:p>
    <w:p>
      <w:pPr>
        <w:numPr>
          <w:ilvl w:val="0"/>
          <w:numId w:val="2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оперативно выявлять факторы, оказывающие негативное влияние на работу по отбору граждан в мобилизационный людской резерв, своевременно принимать меры по решению возникающих проблемных вопросов.</w:t>
      </w:r>
    </w:p>
    <w:p>
      <w:pPr>
        <w:numPr>
          <w:ilvl w:val="0"/>
          <w:numId w:val="2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 xml:space="preserve">6.5. Ежемесячно к 13 и 28 числу представлять в отдел по мобилизационной работе администрации городского округа город Воронеж по электронной почте </w:t>
      </w:r>
      <w:hyperlink xmlns:r="http://schemas.openxmlformats.org/officeDocument/2006/relationships" r:id="R3">
        <w:r>
          <w:rPr>
            <w:rStyle w:val="C2"/>
            <w:rFonts w:ascii="Verdana" w:hAnsi="Verdana"/>
            <w:color w:val="1D5586"/>
            <w:sz w:val="20"/>
            <w:u w:val="single"/>
            <w:shd w:val="clear" w:color="auto" w:fill="FFFFFF"/>
          </w:rPr>
          <w:t>avpavlov@cityhall.voronezh-city.ru</w:t>
        </w:r>
      </w:hyperlink>
      <w:r>
        <w:rPr>
          <w:rFonts w:ascii="Verdana" w:hAnsi="Verdana"/>
          <w:color w:val="111111"/>
          <w:sz w:val="20"/>
          <w:shd w:val="clear" w:color="auto" w:fill="FFFFFF"/>
        </w:rPr>
        <w:t xml:space="preserve"> сведения о ходе работы по привлечению граждан из числа работников организаций в мобилизационный людской резерв по форме:</w:t>
      </w:r>
    </w:p>
    <w:p>
      <w:pPr>
        <w:numPr>
          <w:ilvl w:val="0"/>
          <w:numId w:val="2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наименование подведомственной организации;</w:t>
      </w:r>
    </w:p>
    <w:p>
      <w:pPr>
        <w:numPr>
          <w:ilvl w:val="0"/>
          <w:numId w:val="2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количество граждан, пребывающих в запасе;</w:t>
      </w:r>
    </w:p>
    <w:p>
      <w:pPr>
        <w:numPr>
          <w:ilvl w:val="0"/>
          <w:numId w:val="2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количество граждан, изъявивших желание поступить в мобилизационный людской резерв;</w:t>
      </w:r>
    </w:p>
    <w:p>
      <w:pPr>
        <w:numPr>
          <w:ilvl w:val="0"/>
          <w:numId w:val="2"/>
        </w:numPr>
        <w:shd w:val="clear" w:fill="FFFFFF"/>
        <w:spacing w:lineRule="auto" w:line="240" w:after="0" w:beforeAutospacing="0" w:afterAutospacing="0"/>
        <w:ind w:left="0"/>
        <w:rPr>
          <w:rFonts w:ascii="Verdana" w:hAnsi="Verdana"/>
          <w:color w:val="111111"/>
          <w:sz w:val="20"/>
          <w:shd w:val="clear" w:color="auto" w:fill="FFFFFF"/>
        </w:rPr>
      </w:pPr>
      <w:r>
        <w:rPr>
          <w:rFonts w:ascii="Verdana" w:hAnsi="Verdana"/>
          <w:color w:val="111111"/>
          <w:sz w:val="20"/>
          <w:shd w:val="clear" w:color="auto" w:fill="FFFFFF"/>
        </w:rPr>
        <w:t>- количество граждан, направленных в военные комиссариаты для оформления необходимых документов (с указанием военного комиссариата соответствующего района).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7. Начальнику отдела по мобилизационной работе администрации городского округа город Воронеж:</w:t>
        <w:br w:type="textWrapping"/>
        <w:br w:type="textWrapping"/>
        <w:t>7.1. Подготовить информационный материал по вопросу отбора граждан, пребывающих в запасе, в мобилизационный людской резерв для размещения его в средствах массовой информации городского округа, в салонах автобусов, работающих в системе городских пассажирских перевозок, а также для использования его в ходе рабочих совещаний (встреч) с руководителями промышленных предприятий и организаций городского округа город Воронеж.</w:t>
        <w:br w:type="textWrapping"/>
        <w:br w:type="textWrapping"/>
        <w:t>7.2. Ежемесячно к 15 и 30 числу готовить главе городского округа город Воронеж для представления губернатору Воронежской области обобщенные сведения о ходе работы по привлечению граждан, пребывающих в запасе, в мобилизационный людской резерв.</w:t>
        <w:br w:type="textWrapping"/>
        <w:br w:type="textWrapping"/>
        <w:t>8. Руководителю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 организовать проведение информационно-агитационной работы по привлечению граждан, пребывающих в запасе, для поступления в мобилизационный людской резерв при проведении подготовки (повышения квалификации) должностных лиц на курсах гражданской обороны и в ходе проведения мероприятий по подготовке неработающего населения в области гражданской обороны и защиты от чрезвычайных ситуаций.</w:t>
        <w:br w:type="textWrapping"/>
        <w:br w:type="textWrapping"/>
        <w:t>9. Рекомендовать военным комиссариатам районов города Воронежа:</w:t>
        <w:br w:type="textWrapping"/>
        <w:br w:type="textWrapping"/>
        <w:t>9.1. Активизировать работу по отбору граждан в мобилизационный людской резерв, выработать конкретные меры по совершенствованию данной работы и повышению ее качественных и количественных показателей.</w:t>
        <w:br w:type="textWrapping"/>
        <w:br w:type="textWrapping"/>
        <w:t>9.2. По согласованию с руководителями управ районов городского округа город Воронеж провести рабочие встречи с руководителями организаций, расположенных на подведомственной территории, по вопросам привлечения работающих в организациях граждан в мобилизационный людской резерв.</w:t>
        <w:br w:type="textWrapping"/>
        <w:br w:type="textWrapping"/>
        <w:t>9.3. Доводить до сведения руководителя управы соответствующего района городского округа состояние работы по отбору граждан в мобилизационный людской резерв, возникающие проблемные вопросы и меры по их решению.</w:t>
        <w:br w:type="textWrapping"/>
        <w:br w:type="textWrapping"/>
        <w:t>9.4. Еженедельно по пятницам начиная с 04.02.2022 до 11.00 по телефону (473) 228-35-27 докладывать заместителю главы администрации – руководителю аппарата Глазьеву С.А. о состоянии работы по отбору граждан, пребывающих в запасе, в мобилизационный людской резерв, проблемных вопросах, возникающих в ходе выполнения поставленной задачи, и мерах по их решению.</w:t>
        <w:br w:type="textWrapping"/>
        <w:br w:type="textWrapping"/>
        <w:t>10. Рекомендовать руководителям организаций, расположенных на территории городского округа город Воронеж, независимо от организационно-правовых форм и форм собственности:</w:t>
        <w:br w:type="textWrapping"/>
        <w:br w:type="textWrapping"/>
        <w:t>10.1. Проводить с привлечением представителей военных комиссариатов районов города Воронежа информационно-агитационную работу по привлечению граждан, пребывающих в запасе, работающих в организациях, для поступления в мобилизационный людской резерв.</w:t>
        <w:br w:type="textWrapping"/>
        <w:br w:type="textWrapping"/>
        <w:t>10.2. Направлять граждан, изъявивших желание поступить в мобилизационный людской резерв, для оформления необходимых документов в соответствующий военный комиссариат.</w:t>
        <w:br w:type="textWrapping"/>
        <w:br w:type="textWrapping"/>
        <w:t>11. Контроль за исполнением настоящего распоряжения возложить на заместителя главы администрации – руководителя аппарата Глазьева С.А.</w:t>
      </w:r>
    </w:p>
    <w:p>
      <w:pPr>
        <w:shd w:val="clear" w:fill="FFFFFF"/>
        <w:spacing w:lineRule="auto" w:line="240" w:beforeAutospacing="0" w:afterAutospacing="0"/>
        <w:ind w:left="0"/>
      </w:pPr>
    </w:p>
    <w:p>
      <w:pPr>
        <w:shd w:val="clear" w:fill="FFFFFF"/>
        <w:spacing w:lineRule="auto" w:line="240" w:beforeAutospacing="0" w:afterAutospacing="0"/>
        <w:jc w:val="right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>Глава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городского округа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 В.Ю. Кстенин</w:t>
      </w:r>
    </w:p>
    <w:p>
      <w:r>
        <w:rPr>
          <w:rFonts w:ascii="Verdana" w:hAnsi="Verdana"/>
          <w:sz w:val="20"/>
          <w:shd w:val="clear" w:color="auto" w:fill="FFFFFF"/>
        </w:rPr>
        <w:br w:type="textWrapping"/>
        <w:br w:type="textWrapping"/>
      </w:r>
    </w:p>
    <w:sectPr>
      <w:headerReference xmlns:r="http://schemas.openxmlformats.org/officeDocument/2006/relationships" w:type="default" r:id="RelHdr1"/>
      <w:type w:val="nextPage"/>
      <w:pgSz w:w="11906" w:h="16838" w:code="0"/>
      <w:pgMar w:left="1701" w:right="850" w:top="1134" w:bottom="1134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hdr>
</file>

<file path=word/numbering.xml><?xml version="1.0" encoding="utf-8"?>
<w:numbering xmlns:w="http://schemas.openxmlformats.org/wordprocessingml/2006/main">
  <w:abstractNum w:abstractNumId="0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1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kern w:val="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color w:val="2F5496" w:themeColor="accent1" w:themeShade="BF"/>
      <w:sz w:val="40"/>
      <w:szCs w:val="40"/>
    </w:rPr>
  </w:style>
  <w:style w:type="character" w:styleId="C4">
    <w:name w:val="Заголовок 2 Знак"/>
    <w:basedOn w:val="C0"/>
    <w:link w:val="P2"/>
    <w:semiHidden/>
    <w:rPr>
      <w:color w:val="2F5496" w:themeColor="accent1" w:themeShade="BF"/>
      <w:sz w:val="32"/>
      <w:szCs w:val="32"/>
    </w:rPr>
  </w:style>
  <w:style w:type="character" w:styleId="C5">
    <w:name w:val="Заголовок 3 Знак"/>
    <w:basedOn w:val="C0"/>
    <w:link w:val="P3"/>
    <w:semiHidden/>
    <w:rPr>
      <w:color w:val="2F5496" w:themeColor="accent1" w:themeShade="BF"/>
      <w:sz w:val="28"/>
      <w:szCs w:val="28"/>
    </w:rPr>
  </w:style>
  <w:style w:type="character" w:styleId="C6">
    <w:name w:val="Заголовок 4 Знак"/>
    <w:basedOn w:val="C0"/>
    <w:link w:val="P4"/>
    <w:semiHidden/>
    <w:rPr>
      <w:i w:val="1"/>
      <w:iCs w:val="1"/>
      <w:color w:val="2F5496" w:themeColor="accent1" w:themeShade="BF"/>
    </w:rPr>
  </w:style>
  <w:style w:type="character" w:styleId="C7">
    <w:name w:val="Заголовок 5 Знак"/>
    <w:basedOn w:val="C0"/>
    <w:link w:val="P5"/>
    <w:semiHidden/>
    <w:rPr>
      <w:color w:val="2F5496" w:themeColor="accent1" w:themeShade="BF"/>
    </w:rPr>
  </w:style>
  <w:style w:type="character" w:styleId="C8">
    <w:name w:val="Заголовок 6 Знак"/>
    <w:basedOn w:val="C0"/>
    <w:link w:val="P6"/>
    <w:semiHidden/>
    <w:rPr>
      <w:i w:val="1"/>
      <w:iCs w:val="1"/>
      <w:color w:val="595959" w:themeColor="text1" w:themeTint="A6"/>
    </w:rPr>
  </w:style>
  <w:style w:type="character" w:styleId="C9">
    <w:name w:val="Заголовок 7 Знак"/>
    <w:basedOn w:val="C0"/>
    <w:link w:val="P7"/>
    <w:semiHidden/>
    <w:rPr>
      <w:color w:val="595959" w:themeColor="text1" w:themeTint="A6"/>
    </w:rPr>
  </w:style>
  <w:style w:type="character" w:styleId="C10">
    <w:name w:val="Заголовок 8 Знак"/>
    <w:basedOn w:val="C0"/>
    <w:link w:val="P8"/>
    <w:semiHidden/>
    <w:rPr>
      <w:i w:val="1"/>
      <w:iCs w:val="1"/>
      <w:color w:val="272727" w:themeColor="text1" w:themeTint="D8"/>
    </w:rPr>
  </w:style>
  <w:style w:type="character" w:styleId="C11">
    <w:name w:val="Заголовок 9 Знак"/>
    <w:basedOn w:val="C0"/>
    <w:link w:val="P9"/>
    <w:semiHidden/>
    <w:rPr>
      <w:color w:val="272727" w:themeColor="text1" w:themeTint="D8"/>
    </w:rPr>
  </w:style>
  <w:style w:type="character" w:styleId="C12">
    <w:name w:val="Заголовок Знак"/>
    <w:basedOn w:val="C0"/>
    <w:link w:val="P10"/>
    <w:rPr>
      <w:sz w:val="56"/>
      <w:szCs w:val="56"/>
      <w:spacing w:val="-10"/>
      <w:kern w:val="28"/>
    </w:rPr>
  </w:style>
  <w:style w:type="character" w:styleId="C13">
    <w:name w:val="Подзаголовок Знак"/>
    <w:basedOn w:val="C0"/>
    <w:link w:val="P11"/>
    <w:rPr>
      <w:color w:val="595959" w:themeColor="text1" w:themeTint="A6"/>
      <w:sz w:val="28"/>
      <w:szCs w:val="28"/>
      <w:spacing w:val="15"/>
    </w:rPr>
  </w:style>
  <w:style w:type="character" w:styleId="C14">
    <w:name w:val="Цитата 2 Знак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Выделенная цитата Знак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2" Type="http://schemas.openxmlformats.org/officeDocument/2006/relationships/hyperlink" Target="mailto:avpavlov@cityhall.voronezh-city.ru" TargetMode="External" /><Relationship Id="R3" Type="http://schemas.openxmlformats.org/officeDocument/2006/relationships/hyperlink" Target="mailto:avpavlov@cityhall.voronezh-city.ru" TargetMode="External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Сергей Григорьев</dc:creator>
  <dcterms:created xsi:type="dcterms:W3CDTF">2025-03-19T11:17:00Z</dcterms:created>
  <dcterms:modified xsi:type="dcterms:W3CDTF">2025-10-25T11:10:30Z</dcterms:modified>
  <cp:revision>16</cp:revision>
</cp:coreProperties>
</file>