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24 января 2022 г. № 57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28.01.2022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24 января 2022 г. № 57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О внесении изменений </w:t>
        <w:br w:type="textWrapping"/>
        <w:t>в постановление администрации</w:t>
        <w:br w:type="textWrapping"/>
        <w:t>городского округа город Воронеж</w:t>
        <w:br w:type="textWrapping"/>
        <w:t>от 18.03.2020 № 210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администрация городского округа город Воронеж постановляет:</w:t>
        <w:br w:type="textWrapping"/>
        <w:br w:type="textWrapping"/>
        <w:t>1. Внести в постановление администрации городского округа город Воронеж от 18.03.2020 № 210 «О введении режима повышенной готовности» следующие изменения:</w:t>
        <w:br w:type="textWrapping"/>
        <w:br w:type="textWrapping"/>
        <w:t>1.1. В абзаце седьмом подпункта «г» пункта 2 постановления цифры «75» заменить цифрами «50».</w:t>
        <w:br w:type="textWrapping"/>
        <w:br w:type="textWrapping"/>
        <w:t>1.2. В абзаце восьмом подпункта «г» пункта 2 постановления цифры «75» заменить цифрами «50».</w:t>
        <w:br w:type="textWrapping"/>
        <w:br w:type="textWrapping"/>
        <w:t>1.3. В абзаце девятом подпункта «г» пункта 2 постановления цифры «75» заменить цифрами «50».</w:t>
        <w:br w:type="textWrapping"/>
        <w:br w:type="textWrapping"/>
        <w:t>1.4. В абзаце десятом подпункта «г» пункта 2 постановления цифры «75» заменить цифрами «50».</w:t>
        <w:br w:type="textWrapping"/>
        <w:br w:type="textWrapping"/>
        <w:t>2. Настоящее постановление вступает в силу с 24 января 2022 года.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r>
        <w:rPr>
          <w:rFonts w:ascii="Verdana" w:hAnsi="Verdana"/>
          <w:sz w:val="20"/>
          <w:shd w:val="clear" w:color="auto" w:fill="FFFFFF"/>
        </w:rPr>
        <w:br w:type="textWrapping"/>
        <w:br w:type="textWrapping"/>
      </w:r>
    </w:p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2025-10-25T11:24:53Z</dcterms:modified>
  <cp:revision>31</cp:revision>
</cp:coreProperties>
</file>