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03 марта 2022 г. № 167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11.03.2022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03 марта 2022 г. № 167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18.03.2020 № 210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Внести в постановление администрации городского округа город Воронеж от 18.03.2020 № 210 «О введении режима повышенной готовности»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1.1. В абзацах пятом, шестом подпункта «а» пункта 2 постановления слова «без привлечения зрителей» заменить словами «с привлечением зрителей в количестве не более 80% от вместимости объекта спорта».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1.2. В абзацах седьмом – десятом, тринадцатом подпункта «г» пункта 2 постановления цифры «50» заменить цифрами «80».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1.3. Подпункт «е» пункта 2 постановления признать утратившим силу.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1.4. Пункт 17.6 постановления признать утратившим силу.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Настоящее постановление вступает в силу с 03 марта 2022 года.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