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spacing w:after="240"/>
      </w:pPr>
    </w:p>
    <w:p>
      <w:pPr>
        <w:pStyle w:val="Heading1"/>
        <w:keepNext w:val="0"/>
        <w:keepLines w:val="0"/>
        <w:widowControl/>
        <w:shd w:val="clear" w:color="auto" w:fill="FFFFFF"/>
        <w:spacing w:before="0" w:after="300"/>
        <w:ind w:left="0" w:right="0"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38"/>
          <w:szCs w:val="38"/>
        </w:rPr>
      </w:pPr>
      <w:r>
        <w:rPr>
          <w:rFonts w:ascii="Verdana" w:eastAsia="Verdana" w:hAnsi="Verdana" w:cs="Verdana"/>
          <w:b w:val="0"/>
          <w:bCs w:val="0"/>
          <w:iCs w:val="0"/>
          <w:caps w:val="0"/>
          <w:color w:val="000000"/>
          <w:spacing w:val="0"/>
          <w:sz w:val="38"/>
          <w:szCs w:val="38"/>
        </w:rPr>
        <w:t>ПОСТАНОВЛЕНИЕ от 02 февраля 2022 г. № 104</w:t>
      </w:r>
    </w:p>
    <w:p>
      <w:pPr>
        <w:pStyle w:val="news-date-time"/>
        <w:widowControl/>
        <w:shd w:val="clear" w:color="auto" w:fill="FFFFFF"/>
        <w:spacing w:after="240"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486DAA"/>
          <w:spacing w:val="0"/>
          <w:sz w:val="20"/>
          <w:szCs w:val="20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486DAA"/>
          <w:spacing w:val="0"/>
          <w:sz w:val="20"/>
          <w:szCs w:val="20"/>
        </w:rPr>
        <w:t>08.02.2022</w:t>
      </w:r>
    </w:p>
    <w:p>
      <w:pPr>
        <w:widowControl/>
        <w:shd w:val="clear" w:color="auto" w:fill="FFFFFF"/>
        <w:ind w:firstLine="0"/>
        <w:jc w:val="center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strike w:val="0"/>
          <w:color w:val="000000"/>
          <w:spacing w:val="0"/>
          <w:sz w:val="20"/>
          <w:szCs w:val="20"/>
          <w:u w:val="none"/>
          <w:bdr w:val="none" w:sz="0" w:space="0" w:color="auto"/>
        </w:rPr>
        <w:drawing>
          <wp:inline>
            <wp:extent cx="571500" cy="571500"/>
            <wp:docPr id="100001" name="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ind w:firstLine="0"/>
        <w:jc w:val="center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АДМИНИСТРАЦИЯ ГОРОДСКОГО ОКРУГА 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ГОРОД ВОРОНЕЖ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ПОСТАНОВЛЕНИЕ</w:t>
      </w:r>
    </w:p>
    <w:p>
      <w:pPr>
        <w:widowControl/>
        <w:shd w:val="clear" w:color="auto" w:fill="FFFFFF"/>
        <w:ind w:firstLine="0"/>
        <w:jc w:val="center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</w:p>
    <w:p>
      <w:pPr>
        <w:widowControl/>
        <w:shd w:val="clear" w:color="auto" w:fill="FFFFFF"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</w:p>
    <w:p>
      <w:pPr>
        <w:widowControl/>
        <w:shd w:val="clear" w:color="auto" w:fill="FFFFFF"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</w:p>
    <w:p>
      <w:pPr>
        <w:widowControl/>
        <w:shd w:val="clear" w:color="auto" w:fill="FFFFFF"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t>от 02 февраля 2022 г. № 104</w:t>
      </w:r>
    </w:p>
    <w:p>
      <w:pPr>
        <w:spacing w:before="240" w:after="240"/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>г. Воронеж</w:t>
      </w:r>
    </w:p>
    <w:p>
      <w:pPr>
        <w:widowControl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</w:pPr>
    </w:p>
    <w:p>
      <w:pPr>
        <w:widowControl/>
        <w:shd w:val="clear" w:color="auto" w:fill="FFFFFF"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О внесении изменений </w:t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в постановление администрации</w:t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городского округа город Воронеж</w:t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от 18.03.2020 № 210</w:t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t>В соответствии с Федеральным законом от 21.12.1994 № 68-ФЗ «О защите населения и территорий от чрезвычайных ситуаций природного и техногенного характера», Указом Президента Российской Федерации от 11.05.2020 № 316 «Об определении порядка продления действия мер по обеспечению санитарно-эпидемиологического благополучия населения в субъектах Российской Федерации в связи с распространением новой коронавирусной инфекции (COVID-19)», указом губернатора Воронежской области от 13.05.2020 № 184-у «О продлении действия мер по обеспечению санитарно-эпидемиологического благополучия населения в Воронежской области в связи с распространением новой коронавирусной инфекции (COVID-19)» администрация городского округа город Воронеж постановляет: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t>1. Внести в постановление администрации городского округа город Воронеж от 18.03.2020 № 210 «О введении режима повышенной готовности» следующие изменения: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t>1.1. Подпункт «а» пункта 2 постановления дополнить абзацем следующего содержания: 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t>«- организации и проведения в открытых помещениях без привлечения зрителей с 03 февраля по 09 февраля 2022 года включительно чемпионатов, первенств, кубков России, всероссийских и межрегиональных соревнований в рамках реализации Единого календарного плана межрегиональных, всероссийских и международных физкультурных мероприятий и спортивных мероприятий, утвержденного Минспортом России, физкультурных и спортивных мероприятий муниципального и регионального уровня в рамках реализации календарных планов официальных физкультурных мероприятий и спортивных мероприятий Воронежской области и муниципальных образований Воронежской области, в том числе включающих в себя физкультурные мероприятия и спортивные мероприятия по реализации Всероссийского физкультурно-спортивного комплекса «Готов к труду и обороне» (ГТО), в соответствии с Регламентом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COVID-19, утвержденным 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t>Министром спорта Российской Федерации 31.07.2020, Главным государственным санитарным врачом Российской Федерации 31.07.2020».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t>1.2. Постановление после пункта 17 дополнить новыми пунктами 17.6 - 17.7 следующего содержания: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t>«17.6. Управлению образования и молодежной политики администрации городского округа город Воронеж, управлению культуры администрации городского округа город Воронеж, управлению физической культуры и спорта администрации городского округа город Воронеж, организациям независимо от их организационно-правовой формы и формы собственности, индивидуальным предпринимателям, осуществляющим образовательную деятельность на территории городского округа город Воронеж с 03 февраля по 09 февраля 2022 года включительно обеспечить реализацию дополнительных общеобразовательных программ, оказание услуг населению для занятий физической культурой и спортом для лиц в возрасте до 18 лет с применением электронного обучения, дистанционных образовательных технологий (за исключением индивидуальных занятий).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t>17.7. Управлению образования и молодежной политики администрации городского округа город Воронеж с 03 февраля по 16 февраля 2022 года включительно обеспечить в установленном действующим законодательством порядке осуществление образовательной деятельности в общеобразовательных организациях с применением электронного обучения, дистанционных образовательных технологий.».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t>2. Приостановить с 03 февраля по 09 февраля 2022 года включительно действие абзаца шестого подпункта «а», абзацев седьмого – десятого подпункта «г» пункта 2 постановления администрации городского округа город Воронеж от 18.03.2020 № 210 «О введении режима повышенной готовности».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t>3. Настоящее постановление вступает в силу с 03 февраля 2022 года.</w:t>
      </w:r>
    </w:p>
    <w:p>
      <w:pPr>
        <w:widowControl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br/>
      </w:r>
    </w:p>
    <w:p>
      <w:pPr>
        <w:widowControl/>
        <w:shd w:val="clear" w:color="auto" w:fill="FFFFFF"/>
        <w:spacing w:before="196"/>
        <w:ind w:firstLine="0"/>
        <w:jc w:val="righ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Глава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городского округа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город Воронеж В.Ю. Кстенин</w:t>
      </w:r>
    </w:p>
    <w:p>
      <w:pPr>
        <w:widowControl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br/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Calibri" w:eastAsia="Calibri" w:hAnsi="Calibri" w:cs="Calibri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Calibri" w:eastAsia="Calibri" w:hAnsi="Calibri" w:cs="Calibri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Calibri" w:eastAsia="Calibri" w:hAnsi="Calibri" w:cs="Calibri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Calibri" w:eastAsia="Calibri" w:hAnsi="Calibri" w:cs="Calibri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Calibri" w:eastAsia="Calibri" w:hAnsi="Calibri" w:cs="Calibri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Calibri" w:eastAsia="Calibri" w:hAnsi="Calibri" w:cs="Calibri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news-date-time">
    <w:name w:val="news-date-time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