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19.07.2024 N 903</w:t>
      </w:r>
    </w:p>
    <w:p>
      <w:pPr>
        <w:pStyle w:val="0"/>
      </w:pPr>
      <w:hyperlink w:history="0" r:id="rId4" w:tooltip="Постановление Администрации городского округа город Воронеж от 19.07.2024 N 903 &quot;Об изъятии земельного участка под многоквартирным домом N 72 по ул. Машиностроителей г. Воронежа и жилых помещений в нем&quot; {КонсультантПлюс}">
        <w:r>
          <w:rPr>
            <w:sz w:val="20"/>
            <w:color w:val="0000ff"/>
          </w:rPr>
          <w:t xml:space="preserve">"Об изъятии земельного участка под многоквартирным домом N 72 по ул. Машиностроителей г. Воронежа и жилых помещений в нем"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2025-07-14T15:01:32Z</dcterms:created>
</cp:coreProperties>
</file>