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CC" w:rsidRPr="004219CC" w:rsidRDefault="004219CC" w:rsidP="004219CC">
      <w:pPr>
        <w:spacing w:before="100" w:beforeAutospacing="1" w:after="100" w:afterAutospacing="1" w:line="240" w:lineRule="auto"/>
        <w:jc w:val="center"/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</w:pPr>
      <w:r w:rsidRPr="004219CC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АДМИНИСТРАЦИЯ ГОРОДСКОГО ОКРУГА </w:t>
      </w: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219CC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ГОРОД ВОРОНЕЖ</w:t>
      </w: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219CC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ПОСТАНОВЛЕНИЕ</w:t>
      </w:r>
    </w:p>
    <w:p w:rsidR="004219CC" w:rsidRPr="004219CC" w:rsidRDefault="004219CC" w:rsidP="00421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  <w:t>от 22 февраля 2024 г. № 215</w:t>
      </w: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  <w:t>г. Воронеж</w:t>
      </w: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219CC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Об утверждении проекта межевания</w:t>
      </w: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219CC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территории, ограниченной </w:t>
      </w: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219CC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ул. Антонова-Овсеенко, ул. 60 Армии,</w:t>
      </w: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219CC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б-ром Победы в городском округе </w:t>
      </w: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219CC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город Воронеж</w:t>
      </w: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Воронежской городской Думы от 27.10.2004 № 150-I «Об Уставе городского округа город Воронеж», в целях реализации Генерального плана городского округа город Воронеж на 2021–2041 годы, утвержденного решением Воронежской городской Думы от 25.12.2020 № 137-V «Об утверждении Генерального плана городского округа город Воронеж на 2021–2041 годы», положений Жилищного кодекса Российской Федерации, в целях образования земельных участков, на которых расположены многоквартирные дома и иные входящие в состав таких домов объекты недвижимого имущества, не образованных до введения в действие Жилищного кодекса Российской Федерации, на основании статьи 16 Федерального закона от 29.12.2004 № 189-ФЗ «О введении в действие Жилищного кодекса Российской Федерации», Правил землепользования и застройки городского округа город Воронеж, утвержденных решением Воронежской городской Думы от 20.04.2022 № 466-V «Об утверждении Правил землепользования и застройки городского округа город Воронеж», с учетом оповещения о начале общественных обсуждений от 23.11.2023 по проекту межевания территории, ограниченной ул. Антонова-Овсеенко, ул. 60 Армии, б-ром Победы в городском округе город Воронеж, заключения комиссии по землепользованию и застройке городского округа город Воронеж от 21.12.2023 о результатах общественных обсуждений по проекту межевания территории, ограниченной ул. Антонова-Овсеенко, ул. 60 Армии, б-ром Победы в городском округе город Воронеж, администрация городского округа город Воронеж постановляет: </w:t>
      </w: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  <w:t>1. Утвердить прилагаемый проект межевания территории, ограниченной ул. Антонова-Овсеенко, ул. 60 Армии, б-ром Победы в городском округе город Воронеж.</w:t>
      </w: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  <w:t>2. Настоящее постановление вступает в силу в день его опубликования в газете «Берег».</w:t>
      </w: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219CC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</w:p>
    <w:p w:rsidR="004219CC" w:rsidRPr="004219CC" w:rsidRDefault="004219CC" w:rsidP="004219CC">
      <w:pPr>
        <w:spacing w:after="0" w:line="240" w:lineRule="auto"/>
        <w:jc w:val="right"/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</w:pPr>
      <w:r w:rsidRPr="004219CC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Глава</w:t>
      </w:r>
      <w:r w:rsidRPr="004219CC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br/>
        <w:t>городского округа</w:t>
      </w:r>
      <w:r w:rsidRPr="004219CC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br/>
        <w:t>город Воронеж В.Ю. Кстенин</w:t>
      </w:r>
    </w:p>
    <w:p w:rsidR="00630CE2" w:rsidRDefault="00630CE2">
      <w:bookmarkStart w:id="0" w:name="_GoBack"/>
      <w:bookmarkEnd w:id="0"/>
    </w:p>
    <w:sectPr w:rsidR="00630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CC"/>
    <w:rsid w:val="004219CC"/>
    <w:rsid w:val="0063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Д.А.</dc:creator>
  <cp:lastModifiedBy>Коваль Д.А.</cp:lastModifiedBy>
  <cp:revision>1</cp:revision>
  <dcterms:created xsi:type="dcterms:W3CDTF">2026-04-08T09:39:00Z</dcterms:created>
  <dcterms:modified xsi:type="dcterms:W3CDTF">2026-04-08T09:39:00Z</dcterms:modified>
</cp:coreProperties>
</file>