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75E8D" w:rsidRDefault="00775E8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5E8D" w:rsidRDefault="00775E8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5E8D" w:rsidRDefault="00775E8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5E8D" w:rsidRDefault="00775E8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5E8D" w:rsidRDefault="00775E8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5E8D" w:rsidRDefault="00775E8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8E76BD">
        <w:rPr>
          <w:w w:val="110"/>
          <w:sz w:val="20"/>
          <w:szCs w:val="20"/>
        </w:rPr>
        <w:t xml:space="preserve"> 29.04.2025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8E76BD">
        <w:rPr>
          <w:sz w:val="20"/>
          <w:szCs w:val="20"/>
        </w:rPr>
        <w:t>670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775E8D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4025A1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8EF935" wp14:editId="06FB18FC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4025A1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4025A1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9F00EA">
        <w:rPr>
          <w:sz w:val="28"/>
          <w:szCs w:val="28"/>
        </w:rPr>
        <w:t>Исполняющий</w:t>
      </w:r>
      <w:proofErr w:type="gramEnd"/>
      <w:r w:rsidR="009F00EA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9F00EA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6D36A4" w:rsidRDefault="00785910" w:rsidP="009F00EA">
      <w:pPr>
        <w:tabs>
          <w:tab w:val="left" w:pos="18496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9F00EA">
        <w:rPr>
          <w:sz w:val="28"/>
          <w:szCs w:val="28"/>
        </w:rPr>
        <w:tab/>
        <w:t xml:space="preserve">                               Ю.А. Комарова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75E8D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E76BD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9F00EA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F00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00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F00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0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2025-04-23T09:34:00Z</cp:lastPrinted>
  <dcterms:created xsi:type="dcterms:W3CDTF">2025-04-30T07:48:00Z</dcterms:created>
  <dcterms:modified xsi:type="dcterms:W3CDTF">2025-04-30T07:48:00Z</dcterms:modified>
</cp:coreProperties>
</file>