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44" w:rsidRDefault="00D76C44" w:rsidP="00D76C44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76C44">
        <w:rPr>
          <w:sz w:val="28"/>
          <w:szCs w:val="28"/>
        </w:rPr>
        <w:t>УТВЕРЖДЕНЫ</w:t>
      </w:r>
    </w:p>
    <w:p w:rsidR="00D76C44" w:rsidRPr="00D76C44" w:rsidRDefault="00D76C44" w:rsidP="00D76C44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76C44">
        <w:rPr>
          <w:sz w:val="28"/>
          <w:szCs w:val="28"/>
        </w:rPr>
        <w:t>постановлением администрации</w:t>
      </w:r>
    </w:p>
    <w:p w:rsidR="00D76C44" w:rsidRPr="00D76C44" w:rsidRDefault="00D76C44" w:rsidP="00D76C44">
      <w:pPr>
        <w:widowControl w:val="0"/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D76C44">
        <w:rPr>
          <w:sz w:val="28"/>
          <w:szCs w:val="28"/>
        </w:rPr>
        <w:t>городского округа город Воронеж</w:t>
      </w:r>
    </w:p>
    <w:p w:rsidR="00BF7FBE" w:rsidRPr="00D76C44" w:rsidRDefault="00D76C44" w:rsidP="00D76C44">
      <w:pPr>
        <w:widowControl w:val="0"/>
        <w:autoSpaceDE w:val="0"/>
        <w:autoSpaceDN w:val="0"/>
        <w:adjustRightInd w:val="0"/>
        <w:ind w:left="5245"/>
        <w:jc w:val="center"/>
        <w:rPr>
          <w:b/>
          <w:sz w:val="28"/>
          <w:szCs w:val="28"/>
        </w:rPr>
      </w:pPr>
      <w:r w:rsidRPr="00D76C44">
        <w:rPr>
          <w:sz w:val="28"/>
          <w:szCs w:val="28"/>
        </w:rPr>
        <w:t xml:space="preserve">от </w:t>
      </w:r>
      <w:r w:rsidR="00784C3B">
        <w:rPr>
          <w:sz w:val="28"/>
          <w:szCs w:val="28"/>
        </w:rPr>
        <w:t>29.04.2025</w:t>
      </w:r>
      <w:r w:rsidRPr="00D76C44">
        <w:rPr>
          <w:sz w:val="28"/>
          <w:szCs w:val="28"/>
        </w:rPr>
        <w:t xml:space="preserve"> №</w:t>
      </w:r>
      <w:r w:rsidR="00784C3B">
        <w:rPr>
          <w:sz w:val="28"/>
          <w:szCs w:val="28"/>
        </w:rPr>
        <w:t xml:space="preserve"> 664</w:t>
      </w:r>
      <w:bookmarkStart w:id="0" w:name="_GoBack"/>
      <w:bookmarkEnd w:id="0"/>
    </w:p>
    <w:p w:rsidR="00E37119" w:rsidRDefault="00E37119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6C44" w:rsidRPr="00D76C44" w:rsidRDefault="00D76C44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166A" w:rsidRPr="00D76C44" w:rsidRDefault="00441CA7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 xml:space="preserve">ИЗМЕНЕНИЯ </w:t>
      </w:r>
    </w:p>
    <w:p w:rsidR="00A93951" w:rsidRP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 xml:space="preserve">В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ПОРЯДОК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ОПРЕДЕЛЕНИЯ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ГРАНИЦ</w:t>
      </w:r>
    </w:p>
    <w:p w:rsid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D76C44">
        <w:rPr>
          <w:b/>
          <w:sz w:val="28"/>
          <w:szCs w:val="28"/>
        </w:rPr>
        <w:t>ПРИЛЕГАЮЩИХ</w:t>
      </w:r>
      <w:proofErr w:type="gramEnd"/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К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ОРГАНИЗАЦИЯМ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И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(ИЛИ)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ОБЪЕКТАМ</w:t>
      </w:r>
    </w:p>
    <w:p w:rsidR="00A93951" w:rsidRP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 xml:space="preserve">ТЕРРИТОРИЙ,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НА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КОТОРЫХ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НЕ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ДОПУСКАЕТСЯ</w:t>
      </w:r>
    </w:p>
    <w:p w:rsid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>РОЗНИЧНАЯ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ПРОДАЖА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АЛКОГОЛЬНОЙ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ПРОДУКЦИИ</w:t>
      </w:r>
    </w:p>
    <w:p w:rsidR="00A93951" w:rsidRP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 xml:space="preserve">И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РОЗНИЧНАЯ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ПРОДАЖА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АЛКОГОЛЬНОЙ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ПРОДУКЦИИ</w:t>
      </w:r>
    </w:p>
    <w:p w:rsidR="00A93951" w:rsidRP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 xml:space="preserve">ПРИ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ОКАЗАНИИ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УСЛУГ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ОБЩЕСТВЕННОГО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ПИТАНИЯ</w:t>
      </w:r>
    </w:p>
    <w:p w:rsidR="00441CA7" w:rsidRPr="00D76C44" w:rsidRDefault="000F166A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6C44">
        <w:rPr>
          <w:b/>
          <w:sz w:val="28"/>
          <w:szCs w:val="28"/>
        </w:rPr>
        <w:t>НА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ТЕРРИТОРИИ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ГОРОДСКОГО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 ОКРУГА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 xml:space="preserve">ГОРОД </w:t>
      </w:r>
      <w:r w:rsidR="00D76C44">
        <w:rPr>
          <w:b/>
          <w:sz w:val="28"/>
          <w:szCs w:val="28"/>
        </w:rPr>
        <w:t xml:space="preserve"> </w:t>
      </w:r>
      <w:r w:rsidRPr="00D76C44">
        <w:rPr>
          <w:b/>
          <w:sz w:val="28"/>
          <w:szCs w:val="28"/>
        </w:rPr>
        <w:t>ВОРОНЕЖ</w:t>
      </w:r>
    </w:p>
    <w:p w:rsidR="00BF7FBE" w:rsidRPr="00D76C44" w:rsidRDefault="00BF7FBE" w:rsidP="00D76C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58FF" w:rsidRPr="00D76C44" w:rsidRDefault="00D76C44" w:rsidP="00D76C44">
      <w:pPr>
        <w:pStyle w:val="a3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013CE4" w:rsidRPr="00D76C44">
        <w:rPr>
          <w:sz w:val="28"/>
          <w:szCs w:val="28"/>
        </w:rPr>
        <w:t>Р</w:t>
      </w:r>
      <w:r w:rsidR="00EA58FF" w:rsidRPr="00D76C44">
        <w:rPr>
          <w:sz w:val="28"/>
          <w:szCs w:val="28"/>
        </w:rPr>
        <w:t xml:space="preserve">аздел </w:t>
      </w:r>
      <w:r w:rsidR="00EA58FF" w:rsidRPr="00D76C44">
        <w:rPr>
          <w:sz w:val="28"/>
          <w:szCs w:val="28"/>
          <w:lang w:val="en-US"/>
        </w:rPr>
        <w:t>I</w:t>
      </w:r>
      <w:r w:rsidR="00EA58FF" w:rsidRPr="00D76C44">
        <w:rPr>
          <w:sz w:val="28"/>
          <w:szCs w:val="28"/>
        </w:rPr>
        <w:t xml:space="preserve">I «Определение границ прилегающих к организациям и (или) объектам территорий» </w:t>
      </w:r>
      <w:r w:rsidR="00DF2CF8" w:rsidRPr="00D76C44">
        <w:rPr>
          <w:sz w:val="28"/>
          <w:szCs w:val="28"/>
        </w:rPr>
        <w:t>Порядка определения границ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городского округа город Воронеж (далее – Порядок)</w:t>
      </w:r>
      <w:r w:rsidR="00A93951" w:rsidRPr="00D76C44">
        <w:rPr>
          <w:sz w:val="28"/>
          <w:szCs w:val="28"/>
        </w:rPr>
        <w:t>,</w:t>
      </w:r>
      <w:r w:rsidR="00013CE4" w:rsidRPr="00D76C44">
        <w:rPr>
          <w:sz w:val="28"/>
          <w:szCs w:val="28"/>
        </w:rPr>
        <w:t xml:space="preserve"> изложить в </w:t>
      </w:r>
      <w:r w:rsidR="00DB3FFE" w:rsidRPr="00D76C44">
        <w:rPr>
          <w:sz w:val="28"/>
          <w:szCs w:val="28"/>
        </w:rPr>
        <w:t>следующей</w:t>
      </w:r>
      <w:r w:rsidR="00013CE4" w:rsidRPr="00D76C44">
        <w:rPr>
          <w:sz w:val="28"/>
          <w:szCs w:val="28"/>
        </w:rPr>
        <w:t xml:space="preserve"> редакции:</w:t>
      </w:r>
      <w:proofErr w:type="gramEnd"/>
    </w:p>
    <w:p w:rsidR="00A93951" w:rsidRPr="00D76C44" w:rsidRDefault="00013CE4" w:rsidP="00013C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C44">
        <w:rPr>
          <w:sz w:val="28"/>
          <w:szCs w:val="28"/>
        </w:rPr>
        <w:t>«II. Определение границ прилегающих</w:t>
      </w:r>
    </w:p>
    <w:p w:rsidR="00013CE4" w:rsidRPr="00D76C44" w:rsidRDefault="00013CE4" w:rsidP="00013C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C44">
        <w:rPr>
          <w:sz w:val="28"/>
          <w:szCs w:val="28"/>
        </w:rPr>
        <w:t>к организациям и (или) объектам территорий</w:t>
      </w:r>
    </w:p>
    <w:p w:rsidR="00013CE4" w:rsidRPr="00D76C44" w:rsidRDefault="00013CE4" w:rsidP="00013C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 Границы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для посетителей: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2.1.1. Зданий, строений, сооружений, помещений, находящихся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образования).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2.1.2. </w:t>
      </w:r>
      <w:proofErr w:type="gramStart"/>
      <w:r w:rsidRPr="00D76C44">
        <w:rPr>
          <w:sz w:val="28"/>
          <w:szCs w:val="28"/>
        </w:rPr>
        <w:t>Зданий, строений, сооружений, помещений, находящихся во владении и (или) пользовании организаций, осуществляющих обучение несовершеннолетних.</w:t>
      </w:r>
      <w:proofErr w:type="gramEnd"/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2.1.3. </w:t>
      </w:r>
      <w:proofErr w:type="gramStart"/>
      <w:r w:rsidRPr="00D76C44">
        <w:rPr>
          <w:sz w:val="28"/>
          <w:szCs w:val="28"/>
        </w:rPr>
        <w:t>Зданий, строений, сооружений, помещений, находящихся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  <w:proofErr w:type="gramEnd"/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 xml:space="preserve">2.1.4. Спортивных сооружений, которые являются объектами </w:t>
      </w:r>
      <w:proofErr w:type="gramStart"/>
      <w:r w:rsidRPr="00D76C44">
        <w:rPr>
          <w:sz w:val="28"/>
          <w:szCs w:val="28"/>
        </w:rPr>
        <w:t>недвижимости</w:t>
      </w:r>
      <w:proofErr w:type="gramEnd"/>
      <w:r w:rsidRPr="00D76C44">
        <w:rPr>
          <w:sz w:val="28"/>
          <w:szCs w:val="28"/>
        </w:rPr>
        <w:t xml:space="preserve"> и права на которые зарегистрированы в установленном порядке.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2.1.5. </w:t>
      </w:r>
      <w:proofErr w:type="gramStart"/>
      <w:r w:rsidRPr="00D76C44">
        <w:rPr>
          <w:sz w:val="28"/>
          <w:szCs w:val="28"/>
        </w:rPr>
        <w:t>Боевых позиций войск, полигонов, узлов связи, расположений воинских частей, специальных технологических комплексов, зданий и сооружений, предназначенных для управления войсками, размещения и хранения военной техники, военного имущества и оборудования, испытания вооружения, зданий и сооружений,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Федерации.</w:t>
      </w:r>
      <w:proofErr w:type="gramEnd"/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2.1.6. Вокзалов, аэропортов.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 xml:space="preserve">2.1.7. Мест нахождения источников повышенной опасности, определенных органом государственной власти субъекта Российской Федерации. 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2.2.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 xml:space="preserve">Границы прилегающих к многоквартирным домам территорий, </w:t>
      </w:r>
      <w:proofErr w:type="gramStart"/>
      <w:r w:rsidRPr="00D76C44">
        <w:rPr>
          <w:sz w:val="28"/>
          <w:szCs w:val="28"/>
        </w:rPr>
        <w:t>на</w:t>
      </w:r>
      <w:proofErr w:type="gramEnd"/>
      <w:r w:rsidRPr="00D76C44">
        <w:rPr>
          <w:sz w:val="28"/>
          <w:szCs w:val="28"/>
        </w:rPr>
        <w:t xml:space="preserve"> </w:t>
      </w:r>
      <w:proofErr w:type="gramStart"/>
      <w:r w:rsidRPr="00D76C44">
        <w:rPr>
          <w:sz w:val="28"/>
          <w:szCs w:val="28"/>
        </w:rPr>
        <w:t>которых не допускается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площадью менее 70 кв.</w:t>
      </w:r>
      <w:r w:rsidR="00437FA2" w:rsidRPr="00D76C44">
        <w:rPr>
          <w:sz w:val="28"/>
          <w:szCs w:val="28"/>
        </w:rPr>
        <w:t xml:space="preserve"> </w:t>
      </w:r>
      <w:r w:rsidRPr="00D76C44">
        <w:rPr>
          <w:sz w:val="28"/>
          <w:szCs w:val="28"/>
        </w:rPr>
        <w:t xml:space="preserve">м, </w:t>
      </w:r>
      <w:r w:rsidR="008E061E" w:rsidRPr="00D76C44">
        <w:rPr>
          <w:sz w:val="28"/>
          <w:szCs w:val="28"/>
        </w:rPr>
        <w:t xml:space="preserve">без учета площади сезонного зала (зоны) обслуживания посетителей, </w:t>
      </w:r>
      <w:r w:rsidRPr="00D76C44">
        <w:rPr>
          <w:sz w:val="28"/>
          <w:szCs w:val="28"/>
        </w:rPr>
        <w:t>устанавливаются от стены многоквартирного дома (включая встроенные и встроенно-пристроенные помещения) по всему периметру здания по прямой линии без учета рельефа территории, искусственных и естественных преград.</w:t>
      </w:r>
      <w:proofErr w:type="gramEnd"/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2.3. Запрет на розничную продажу алкогольной продукции и розничную продажу алкогольной продукции при оказании услуг общественного питания, установленный подпунктами 2.1.1</w:t>
      </w:r>
      <w:r w:rsidR="00437FA2" w:rsidRPr="00D76C44">
        <w:rPr>
          <w:sz w:val="28"/>
          <w:szCs w:val="28"/>
        </w:rPr>
        <w:t>–</w:t>
      </w:r>
      <w:r w:rsidRPr="00D76C44">
        <w:rPr>
          <w:sz w:val="28"/>
          <w:szCs w:val="28"/>
        </w:rPr>
        <w:t>2.1.3 пункта 2.1 настоящего Порядка, распространяется на территории, прилегающие к зданиям, строениям, сооружениям, помещениям, в которых непосредственно осуществляются соответствующие виды деятельности.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2.4. При наличии обособленной территор</w:t>
      </w:r>
      <w:proofErr w:type="gramStart"/>
      <w:r w:rsidRPr="00D76C44">
        <w:rPr>
          <w:sz w:val="28"/>
          <w:szCs w:val="28"/>
        </w:rPr>
        <w:t>ии у о</w:t>
      </w:r>
      <w:proofErr w:type="gramEnd"/>
      <w:r w:rsidRPr="00D76C44">
        <w:rPr>
          <w:sz w:val="28"/>
          <w:szCs w:val="28"/>
        </w:rPr>
        <w:t>бъектов, указанных в подпунктах 2.1.1 и 2.1.2 пункта 2.1 настоящего Порядка,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(входов) для посетителей на обособленную территорию объекта.</w:t>
      </w:r>
    </w:p>
    <w:p w:rsidR="0055275A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27024E" w:rsidRPr="00D76C44">
        <w:rPr>
          <w:sz w:val="28"/>
          <w:szCs w:val="28"/>
        </w:rPr>
        <w:t>5</w:t>
      </w:r>
      <w:r w:rsidRPr="00D76C44">
        <w:rPr>
          <w:sz w:val="28"/>
          <w:szCs w:val="28"/>
        </w:rPr>
        <w:t>. </w:t>
      </w:r>
      <w:r w:rsidR="0027024E" w:rsidRPr="00D76C44">
        <w:rPr>
          <w:sz w:val="28"/>
          <w:szCs w:val="28"/>
        </w:rPr>
        <w:t xml:space="preserve">Расчет </w:t>
      </w:r>
      <w:r w:rsidR="0055275A" w:rsidRPr="00D76C44">
        <w:rPr>
          <w:sz w:val="28"/>
          <w:szCs w:val="28"/>
        </w:rPr>
        <w:t xml:space="preserve">расстояния от </w:t>
      </w:r>
      <w:r w:rsidR="0027024E" w:rsidRPr="00D76C44">
        <w:rPr>
          <w:sz w:val="28"/>
          <w:szCs w:val="28"/>
        </w:rPr>
        <w:t>организаци</w:t>
      </w:r>
      <w:r w:rsidR="0055275A" w:rsidRPr="00D76C44">
        <w:rPr>
          <w:sz w:val="28"/>
          <w:szCs w:val="28"/>
        </w:rPr>
        <w:t>й</w:t>
      </w:r>
      <w:r w:rsidR="0027024E" w:rsidRPr="00D76C44">
        <w:rPr>
          <w:sz w:val="28"/>
          <w:szCs w:val="28"/>
        </w:rPr>
        <w:t xml:space="preserve"> и (или) объект</w:t>
      </w:r>
      <w:r w:rsidR="0055275A" w:rsidRPr="00D76C44">
        <w:rPr>
          <w:sz w:val="28"/>
          <w:szCs w:val="28"/>
        </w:rPr>
        <w:t>ов</w:t>
      </w:r>
      <w:r w:rsidR="0027024E" w:rsidRPr="00D76C44">
        <w:rPr>
          <w:sz w:val="28"/>
          <w:szCs w:val="28"/>
        </w:rPr>
        <w:t>, указанны</w:t>
      </w:r>
      <w:r w:rsidR="0055275A" w:rsidRPr="00D76C44">
        <w:rPr>
          <w:sz w:val="28"/>
          <w:szCs w:val="28"/>
        </w:rPr>
        <w:t>х</w:t>
      </w:r>
      <w:r w:rsidR="0027024E" w:rsidRPr="00D76C44">
        <w:rPr>
          <w:sz w:val="28"/>
          <w:szCs w:val="28"/>
        </w:rPr>
        <w:t xml:space="preserve"> в подпунктах 2.1.1</w:t>
      </w:r>
      <w:r w:rsidR="00437FA2" w:rsidRPr="00D76C44">
        <w:rPr>
          <w:sz w:val="28"/>
          <w:szCs w:val="28"/>
        </w:rPr>
        <w:t>–</w:t>
      </w:r>
      <w:r w:rsidR="0027024E" w:rsidRPr="00D76C44">
        <w:rPr>
          <w:sz w:val="28"/>
          <w:szCs w:val="28"/>
        </w:rPr>
        <w:t xml:space="preserve">2.1.7 пункта 2.1 настоящего Порядка, </w:t>
      </w:r>
      <w:r w:rsidR="0055275A" w:rsidRPr="00D76C44">
        <w:rPr>
          <w:sz w:val="28"/>
          <w:szCs w:val="28"/>
        </w:rPr>
        <w:t>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осуществляется:</w:t>
      </w:r>
    </w:p>
    <w:p w:rsidR="002115C7" w:rsidRPr="00D76C44" w:rsidRDefault="002115C7" w:rsidP="002115C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-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 xml:space="preserve">при наличии обособленной территории </w:t>
      </w:r>
      <w:r w:rsidR="00437FA2" w:rsidRPr="00D76C44">
        <w:rPr>
          <w:sz w:val="28"/>
          <w:szCs w:val="28"/>
        </w:rPr>
        <w:t>–</w:t>
      </w:r>
      <w:r w:rsidRPr="00D76C44">
        <w:rPr>
          <w:sz w:val="28"/>
          <w:szCs w:val="28"/>
        </w:rPr>
        <w:t xml:space="preserve"> по границам обособленной территории и внешнему контуру окружности (окружностей) радиусом, равным утвержденному минимальному значению расстояния от указанных организаций и (или) объектов до </w:t>
      </w:r>
      <w:proofErr w:type="gramStart"/>
      <w:r w:rsidRPr="00D76C44">
        <w:rPr>
          <w:sz w:val="28"/>
          <w:szCs w:val="28"/>
        </w:rPr>
        <w:t>границ</w:t>
      </w:r>
      <w:proofErr w:type="gramEnd"/>
      <w:r w:rsidRPr="00D76C44">
        <w:rPr>
          <w:sz w:val="28"/>
          <w:szCs w:val="28"/>
        </w:rPr>
        <w:t xml:space="preserve"> прилегающих к ним территорий с центром окружности (окружностей), соответствующим входу (входам) для посетителей на обособленную территорию, без учета эвакуационных выходов;</w:t>
      </w:r>
    </w:p>
    <w:p w:rsidR="002115C7" w:rsidRPr="00D76C44" w:rsidRDefault="002115C7" w:rsidP="002115C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-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 xml:space="preserve">при отсутствии обособленной территории </w:t>
      </w:r>
      <w:r w:rsidR="00437FA2" w:rsidRPr="00D76C44">
        <w:rPr>
          <w:sz w:val="28"/>
          <w:szCs w:val="28"/>
        </w:rPr>
        <w:t>–</w:t>
      </w:r>
      <w:r w:rsidRPr="00D76C44">
        <w:rPr>
          <w:sz w:val="28"/>
          <w:szCs w:val="28"/>
        </w:rPr>
        <w:t xml:space="preserve"> по внешнему контуру окружности (окружностей) радиусом, равным утвержденному минимальному значению расстояния от указанных организаций и (или) объектов до </w:t>
      </w:r>
      <w:proofErr w:type="gramStart"/>
      <w:r w:rsidRPr="00D76C44">
        <w:rPr>
          <w:sz w:val="28"/>
          <w:szCs w:val="28"/>
        </w:rPr>
        <w:t>границ</w:t>
      </w:r>
      <w:proofErr w:type="gramEnd"/>
      <w:r w:rsidRPr="00D76C44">
        <w:rPr>
          <w:sz w:val="28"/>
          <w:szCs w:val="28"/>
        </w:rPr>
        <w:t xml:space="preserve"> прилегающих к ним территорий с центром окружности (окружностей), соответствующим входу (входам) для посетителей в здание (строение, сооружение), в котором расположены организации и (или) объекты, без учета эвакуационных выходов.</w:t>
      </w:r>
    </w:p>
    <w:p w:rsidR="00837A86" w:rsidRPr="00D76C44" w:rsidRDefault="00837A86" w:rsidP="002115C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76C44">
        <w:rPr>
          <w:sz w:val="28"/>
          <w:szCs w:val="28"/>
        </w:rPr>
        <w:t>Если прилегающие к организациям и (или) объектам территории,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находятся внутри торгового центра (многофункционального торгового центра), то расстояние от входа (входов) для посетителей на обособленную территорию организаций и (или) объектов, без учета эвакуационных выходов, или от входа (входов) для посетителей в организации и</w:t>
      </w:r>
      <w:proofErr w:type="gramEnd"/>
      <w:r w:rsidRPr="00D76C44">
        <w:rPr>
          <w:sz w:val="28"/>
          <w:szCs w:val="28"/>
        </w:rPr>
        <w:t xml:space="preserve"> (</w:t>
      </w:r>
      <w:proofErr w:type="gramStart"/>
      <w:r w:rsidRPr="00D76C44">
        <w:rPr>
          <w:sz w:val="28"/>
          <w:szCs w:val="28"/>
        </w:rPr>
        <w:t>или) объекты определяется по внешнему контуру окружности (окружностей) радиусом, равным утвержденному минимальному значению расстояния от входа (входов) для посетителей на обособленную территорию организаций и (или) объектов, без учета эвакуационных выходов, или от входа (входов) для посетителей, без учета эвакуационных выходов, до входа для посетителей, без учета эвакуационных выходов, в стационарный торговый объект, осуществляющий розничную продажу алкогольной продукции или стационарный объект</w:t>
      </w:r>
      <w:proofErr w:type="gramEnd"/>
      <w:r w:rsidRPr="00D76C44">
        <w:rPr>
          <w:sz w:val="28"/>
          <w:szCs w:val="28"/>
        </w:rPr>
        <w:t xml:space="preserve"> общественного питания, </w:t>
      </w:r>
      <w:proofErr w:type="gramStart"/>
      <w:r w:rsidRPr="00D76C44">
        <w:rPr>
          <w:sz w:val="28"/>
          <w:szCs w:val="28"/>
        </w:rPr>
        <w:t>осуществляющий</w:t>
      </w:r>
      <w:proofErr w:type="gramEnd"/>
      <w:r w:rsidRPr="00D76C44">
        <w:rPr>
          <w:sz w:val="28"/>
          <w:szCs w:val="28"/>
        </w:rPr>
        <w:t xml:space="preserve"> розничную продажу алкогольной продукции при оказании услуг общественного питания, внутри того же торгового центра (многофункционального центра). </w:t>
      </w:r>
    </w:p>
    <w:p w:rsidR="002115C7" w:rsidRPr="00D76C44" w:rsidRDefault="002115C7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76C44">
        <w:rPr>
          <w:sz w:val="28"/>
          <w:szCs w:val="28"/>
        </w:rPr>
        <w:t>Если границы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накладываются на торговые центры (многофункциональные торговые центры), то расстояние от входа (входов) для посетителей на обособленную территорию организаций и (или) объектов, без учета эвакуационных выходов, или от входа (входов) для посетителей в здание</w:t>
      </w:r>
      <w:proofErr w:type="gramEnd"/>
      <w:r w:rsidRPr="00D76C44">
        <w:rPr>
          <w:sz w:val="28"/>
          <w:szCs w:val="28"/>
        </w:rPr>
        <w:t xml:space="preserve"> (</w:t>
      </w:r>
      <w:proofErr w:type="gramStart"/>
      <w:r w:rsidRPr="00D76C44">
        <w:rPr>
          <w:sz w:val="28"/>
          <w:szCs w:val="28"/>
        </w:rPr>
        <w:t>строение, сооружение), в котором расположены организации и (или) объекты, без учета эвакуационных выходов, определяется по внешнему контуру окружности (окружностей) радиусом, равным утвержденному минимальному значению расстояния от входа (входов) для посетителей на обособленную территорию организаций и (или) объектов, без учета эвакуационных выходов, или от входа (входов) для посетителей в здание (строение, сооружение), в котором расположены организации и (или) объекты, без учета</w:t>
      </w:r>
      <w:proofErr w:type="gramEnd"/>
      <w:r w:rsidRPr="00D76C44">
        <w:rPr>
          <w:sz w:val="28"/>
          <w:szCs w:val="28"/>
        </w:rPr>
        <w:t xml:space="preserve"> эвакуационных выходов, до входа в стационарный торговый объект, осуществляющий розничную продажу алкогольной продукции или стационарный объект общественного питания, осуществляющий розничную продажу алкогольной продукции при оказании услуг общественного питания</w:t>
      </w:r>
      <w:r w:rsidR="00837A86" w:rsidRPr="00D76C44">
        <w:rPr>
          <w:sz w:val="28"/>
          <w:szCs w:val="28"/>
        </w:rPr>
        <w:t>, расположенный на первом этаже того же торгового центра (многофункционального центра).</w:t>
      </w:r>
    </w:p>
    <w:p w:rsidR="007B344E" w:rsidRPr="00D76C44" w:rsidRDefault="007B344E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0A56">
        <w:rPr>
          <w:sz w:val="28"/>
          <w:szCs w:val="28"/>
        </w:rPr>
        <w:t>2.6.</w:t>
      </w:r>
      <w:r w:rsidR="00D76C44" w:rsidRPr="00E40A56">
        <w:rPr>
          <w:sz w:val="28"/>
          <w:szCs w:val="28"/>
        </w:rPr>
        <w:t> </w:t>
      </w:r>
      <w:proofErr w:type="gramStart"/>
      <w:r w:rsidRPr="00E40A56">
        <w:rPr>
          <w:sz w:val="28"/>
          <w:szCs w:val="28"/>
        </w:rPr>
        <w:t>Если границы прилегающих</w:t>
      </w:r>
      <w:r w:rsidRPr="005D5217">
        <w:rPr>
          <w:sz w:val="28"/>
          <w:szCs w:val="28"/>
        </w:rPr>
        <w:t xml:space="preserve"> территорий, указанные в пункте 2.2 настоящего Порядка, накладываются на торговые центры (многофункциональные торговые центры), то расстояние прилегающих территорий определяется по внешнему контуру периметра многоквартирного дома (включая встроенные и встроенно-пристроенные помещения) расстоянием, равным утвержденному минимальному значению расстояния от многоквартирных домов</w:t>
      </w:r>
      <w:r w:rsidR="00406C4B" w:rsidRPr="005D5217">
        <w:rPr>
          <w:sz w:val="28"/>
          <w:szCs w:val="28"/>
        </w:rPr>
        <w:t>,</w:t>
      </w:r>
      <w:r w:rsidRPr="005D5217">
        <w:rPr>
          <w:sz w:val="28"/>
          <w:szCs w:val="28"/>
        </w:rPr>
        <w:t xml:space="preserve"> до входа для посетителей в стационарный объект общественного питания с залом обслуживания посетителей площадью менее 70 кв.</w:t>
      </w:r>
      <w:r w:rsidR="00CD47C2" w:rsidRPr="005D5217">
        <w:rPr>
          <w:sz w:val="28"/>
          <w:szCs w:val="28"/>
        </w:rPr>
        <w:t xml:space="preserve"> </w:t>
      </w:r>
      <w:r w:rsidRPr="005D5217">
        <w:rPr>
          <w:sz w:val="28"/>
          <w:szCs w:val="28"/>
        </w:rPr>
        <w:t>м</w:t>
      </w:r>
      <w:proofErr w:type="gramEnd"/>
      <w:r w:rsidRPr="005D5217">
        <w:rPr>
          <w:sz w:val="28"/>
          <w:szCs w:val="28"/>
        </w:rPr>
        <w:t xml:space="preserve">, </w:t>
      </w:r>
      <w:r w:rsidR="00547C69" w:rsidRPr="005D5217">
        <w:rPr>
          <w:sz w:val="28"/>
          <w:szCs w:val="28"/>
        </w:rPr>
        <w:t xml:space="preserve">в котором </w:t>
      </w:r>
      <w:r w:rsidRPr="005D5217">
        <w:rPr>
          <w:sz w:val="28"/>
          <w:szCs w:val="28"/>
        </w:rPr>
        <w:t>осуществля</w:t>
      </w:r>
      <w:r w:rsidR="00547C69" w:rsidRPr="005D5217">
        <w:rPr>
          <w:sz w:val="28"/>
          <w:szCs w:val="28"/>
        </w:rPr>
        <w:t xml:space="preserve">ется </w:t>
      </w:r>
      <w:r w:rsidRPr="005D5217">
        <w:rPr>
          <w:sz w:val="28"/>
          <w:szCs w:val="28"/>
        </w:rPr>
        <w:t>розничн</w:t>
      </w:r>
      <w:r w:rsidR="00547C69" w:rsidRPr="005D5217">
        <w:rPr>
          <w:sz w:val="28"/>
          <w:szCs w:val="28"/>
        </w:rPr>
        <w:t>ая</w:t>
      </w:r>
      <w:r w:rsidRPr="005D5217">
        <w:rPr>
          <w:sz w:val="28"/>
          <w:szCs w:val="28"/>
        </w:rPr>
        <w:t xml:space="preserve"> продаж</w:t>
      </w:r>
      <w:r w:rsidR="00547C69" w:rsidRPr="005D5217">
        <w:rPr>
          <w:sz w:val="28"/>
          <w:szCs w:val="28"/>
        </w:rPr>
        <w:t>а</w:t>
      </w:r>
      <w:r w:rsidRPr="005D5217">
        <w:rPr>
          <w:sz w:val="28"/>
          <w:szCs w:val="28"/>
        </w:rPr>
        <w:t xml:space="preserve"> алкогольной продукции при оказании услуг общественного питания, </w:t>
      </w:r>
      <w:proofErr w:type="gramStart"/>
      <w:r w:rsidRPr="005D5217">
        <w:rPr>
          <w:sz w:val="28"/>
          <w:szCs w:val="28"/>
        </w:rPr>
        <w:t>расположенный</w:t>
      </w:r>
      <w:proofErr w:type="gramEnd"/>
      <w:r w:rsidRPr="005D5217">
        <w:rPr>
          <w:sz w:val="28"/>
          <w:szCs w:val="28"/>
        </w:rPr>
        <w:t xml:space="preserve"> </w:t>
      </w:r>
      <w:r w:rsidR="0092484C" w:rsidRPr="005D5217">
        <w:rPr>
          <w:sz w:val="28"/>
          <w:szCs w:val="28"/>
        </w:rPr>
        <w:t xml:space="preserve">на первом этаже </w:t>
      </w:r>
      <w:r w:rsidRPr="005D5217">
        <w:rPr>
          <w:sz w:val="28"/>
          <w:szCs w:val="28"/>
        </w:rPr>
        <w:t>торгового центра (многофункционального центра).</w:t>
      </w:r>
    </w:p>
    <w:p w:rsidR="00DB3FFE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7B344E" w:rsidRPr="00D76C44">
        <w:rPr>
          <w:sz w:val="28"/>
          <w:szCs w:val="28"/>
        </w:rPr>
        <w:t>7</w:t>
      </w:r>
      <w:r w:rsidRPr="00D76C44">
        <w:rPr>
          <w:sz w:val="28"/>
          <w:szCs w:val="28"/>
        </w:rPr>
        <w:t>. При налич</w:t>
      </w:r>
      <w:proofErr w:type="gramStart"/>
      <w:r w:rsidRPr="00D76C44">
        <w:rPr>
          <w:sz w:val="28"/>
          <w:szCs w:val="28"/>
        </w:rPr>
        <w:t>ии у о</w:t>
      </w:r>
      <w:proofErr w:type="gramEnd"/>
      <w:r w:rsidRPr="00D76C44">
        <w:rPr>
          <w:sz w:val="28"/>
          <w:szCs w:val="28"/>
        </w:rPr>
        <w:t>рганизации и (или) объект</w:t>
      </w:r>
      <w:r w:rsidR="00DB3FFE" w:rsidRPr="00D76C44">
        <w:rPr>
          <w:sz w:val="28"/>
          <w:szCs w:val="28"/>
        </w:rPr>
        <w:t>ов</w:t>
      </w:r>
      <w:r w:rsidRPr="00D76C44">
        <w:rPr>
          <w:sz w:val="28"/>
          <w:szCs w:val="28"/>
        </w:rPr>
        <w:t xml:space="preserve">, </w:t>
      </w:r>
      <w:r w:rsidR="00DB3FFE" w:rsidRPr="00D76C44">
        <w:rPr>
          <w:sz w:val="28"/>
          <w:szCs w:val="28"/>
        </w:rPr>
        <w:t>указанных в подпунктах 2.1.1</w:t>
      </w:r>
      <w:r w:rsidR="00437FA2" w:rsidRPr="00D76C44">
        <w:rPr>
          <w:sz w:val="28"/>
          <w:szCs w:val="28"/>
        </w:rPr>
        <w:t>–</w:t>
      </w:r>
      <w:r w:rsidR="00DB3FFE" w:rsidRPr="00D76C44">
        <w:rPr>
          <w:sz w:val="28"/>
          <w:szCs w:val="28"/>
        </w:rPr>
        <w:t xml:space="preserve">2.1.7 пункта 2.1 настоящего Порядка, </w:t>
      </w:r>
      <w:r w:rsidRPr="00D76C44">
        <w:rPr>
          <w:sz w:val="28"/>
          <w:szCs w:val="28"/>
        </w:rPr>
        <w:t>более одного входа (выхода) для посетителей прилегающая территория определяется от каждого входа (выхода).</w:t>
      </w:r>
      <w:r w:rsidR="00DB3FFE" w:rsidRPr="00D76C44">
        <w:rPr>
          <w:sz w:val="28"/>
          <w:szCs w:val="28"/>
        </w:rPr>
        <w:t xml:space="preserve"> </w:t>
      </w:r>
    </w:p>
    <w:p w:rsidR="00DB3FFE" w:rsidRPr="00D76C44" w:rsidRDefault="00DB3FFE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Эвакуационные выходы зданий, строений, сооружений, помещений или обособленных территорий организаций и (или) объектов</w:t>
      </w:r>
      <w:r w:rsidR="0055275A" w:rsidRPr="00D76C44">
        <w:rPr>
          <w:sz w:val="28"/>
          <w:szCs w:val="28"/>
        </w:rPr>
        <w:t>, которые не</w:t>
      </w:r>
      <w:r w:rsidR="000722EE">
        <w:rPr>
          <w:sz w:val="28"/>
          <w:szCs w:val="28"/>
        </w:rPr>
        <w:t> </w:t>
      </w:r>
      <w:r w:rsidR="0055275A" w:rsidRPr="00D76C44">
        <w:rPr>
          <w:sz w:val="28"/>
          <w:szCs w:val="28"/>
        </w:rPr>
        <w:t xml:space="preserve">предназначены для входа (выхода) посетителей, </w:t>
      </w:r>
      <w:r w:rsidRPr="00D76C44">
        <w:rPr>
          <w:sz w:val="28"/>
          <w:szCs w:val="28"/>
        </w:rPr>
        <w:t>при определении границ прилегающих территорий не учитываются.</w:t>
      </w:r>
    </w:p>
    <w:p w:rsidR="00013CE4" w:rsidRPr="00D76C44" w:rsidRDefault="00013CE4" w:rsidP="00013CE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7B344E" w:rsidRPr="00D76C44">
        <w:rPr>
          <w:sz w:val="28"/>
          <w:szCs w:val="28"/>
        </w:rPr>
        <w:t>8</w:t>
      </w:r>
      <w:r w:rsidRPr="00D76C44">
        <w:rPr>
          <w:sz w:val="28"/>
          <w:szCs w:val="28"/>
        </w:rPr>
        <w:t xml:space="preserve">. Минимальные значения расстояний от организаций и (или) объектов до </w:t>
      </w:r>
      <w:proofErr w:type="gramStart"/>
      <w:r w:rsidRPr="00D76C44">
        <w:rPr>
          <w:sz w:val="28"/>
          <w:szCs w:val="28"/>
        </w:rPr>
        <w:t>границ</w:t>
      </w:r>
      <w:proofErr w:type="gramEnd"/>
      <w:r w:rsidRPr="00D76C44">
        <w:rPr>
          <w:sz w:val="28"/>
          <w:szCs w:val="28"/>
        </w:rPr>
        <w:t xml:space="preserve"> прилегающих к ним территорий, на которых не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>допускается розничная продажа алкогольной продукции и</w:t>
      </w:r>
      <w:r w:rsidR="007B344E" w:rsidRPr="00D76C44">
        <w:rPr>
          <w:sz w:val="28"/>
          <w:szCs w:val="28"/>
        </w:rPr>
        <w:t>ли</w:t>
      </w:r>
      <w:r w:rsidRPr="00D76C44">
        <w:rPr>
          <w:sz w:val="28"/>
          <w:szCs w:val="28"/>
        </w:rPr>
        <w:t xml:space="preserve"> розничная продажа алкогольной продукции при оказании услуг общественного питания, утверждаются постановлением администрации городского округа город Воронеж.</w:t>
      </w:r>
    </w:p>
    <w:p w:rsidR="0092484C" w:rsidRPr="00D76C44" w:rsidRDefault="00DB3FFE" w:rsidP="00DB3FF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7B344E" w:rsidRPr="00D76C44">
        <w:rPr>
          <w:sz w:val="28"/>
          <w:szCs w:val="28"/>
        </w:rPr>
        <w:t>9</w:t>
      </w:r>
      <w:r w:rsidRPr="00D76C44">
        <w:rPr>
          <w:sz w:val="28"/>
          <w:szCs w:val="28"/>
        </w:rPr>
        <w:t>.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>Схемы границ прилегающих территорий, на которых не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 xml:space="preserve">допускается розничная продажа алкогольной продукции или розничная продажа алкогольной продукции при оказании услуг общественного питания (далее </w:t>
      </w:r>
      <w:r w:rsidR="00437FA2" w:rsidRPr="00D76C44">
        <w:rPr>
          <w:sz w:val="28"/>
          <w:szCs w:val="28"/>
        </w:rPr>
        <w:t>–</w:t>
      </w:r>
      <w:r w:rsidRPr="00D76C44">
        <w:rPr>
          <w:sz w:val="28"/>
          <w:szCs w:val="28"/>
        </w:rPr>
        <w:t xml:space="preserve"> Схемы</w:t>
      </w:r>
      <w:r w:rsidR="0092484C" w:rsidRPr="00D76C44">
        <w:rPr>
          <w:sz w:val="28"/>
          <w:szCs w:val="28"/>
        </w:rPr>
        <w:t xml:space="preserve"> границ прилегающих территорий)</w:t>
      </w:r>
      <w:r w:rsidR="00437FA2" w:rsidRPr="00D76C44">
        <w:rPr>
          <w:sz w:val="28"/>
          <w:szCs w:val="28"/>
        </w:rPr>
        <w:t>,</w:t>
      </w:r>
      <w:r w:rsidR="0092484C" w:rsidRPr="00D76C44">
        <w:rPr>
          <w:sz w:val="28"/>
          <w:szCs w:val="28"/>
        </w:rPr>
        <w:t xml:space="preserve"> для организаций и объектов, указанных в пункте 2.1 настоящего Порядка, </w:t>
      </w:r>
      <w:r w:rsidRPr="00D76C44">
        <w:rPr>
          <w:sz w:val="28"/>
          <w:szCs w:val="28"/>
        </w:rPr>
        <w:t>разрабатываются управлением главного архитектора администрации городского округа город Воронеж</w:t>
      </w:r>
      <w:r w:rsidR="0092484C" w:rsidRPr="00D76C44">
        <w:rPr>
          <w:sz w:val="28"/>
          <w:szCs w:val="28"/>
        </w:rPr>
        <w:t>.</w:t>
      </w:r>
    </w:p>
    <w:p w:rsidR="00DB3FFE" w:rsidRPr="00D76C44" w:rsidRDefault="0092484C" w:rsidP="00DB3FF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Схемы границ прилегающих территорий</w:t>
      </w:r>
      <w:r w:rsidR="00DB3FFE" w:rsidRPr="00D76C44">
        <w:rPr>
          <w:sz w:val="28"/>
          <w:szCs w:val="28"/>
        </w:rPr>
        <w:t xml:space="preserve"> </w:t>
      </w:r>
      <w:r w:rsidRPr="00D76C44">
        <w:rPr>
          <w:sz w:val="28"/>
          <w:szCs w:val="28"/>
        </w:rPr>
        <w:t>утверждаются постановлением администрации городского округа город Воронеж.</w:t>
      </w:r>
    </w:p>
    <w:p w:rsidR="00673361" w:rsidRPr="00D76C44" w:rsidRDefault="00673361" w:rsidP="0067336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F3173E" w:rsidRPr="00D76C44">
        <w:rPr>
          <w:sz w:val="28"/>
          <w:szCs w:val="28"/>
        </w:rPr>
        <w:t>10</w:t>
      </w:r>
      <w:r w:rsidRPr="00D76C44">
        <w:rPr>
          <w:sz w:val="28"/>
          <w:szCs w:val="28"/>
        </w:rPr>
        <w:t>.</w:t>
      </w:r>
      <w:r w:rsidR="00D76C44">
        <w:rPr>
          <w:sz w:val="28"/>
          <w:szCs w:val="28"/>
        </w:rPr>
        <w:t> </w:t>
      </w:r>
      <w:r w:rsidRPr="00D76C44">
        <w:rPr>
          <w:sz w:val="28"/>
          <w:szCs w:val="28"/>
        </w:rPr>
        <w:t xml:space="preserve">Запрет розничной продажи алкогольной продукции или розничной продажи алкогольной продукции при оказании услуг общественного питания, установленный настоящим Порядком, действует в отношении объектов </w:t>
      </w:r>
      <w:r w:rsidR="00514C38" w:rsidRPr="00D76C44">
        <w:rPr>
          <w:sz w:val="28"/>
          <w:szCs w:val="28"/>
        </w:rPr>
        <w:t xml:space="preserve">розничной </w:t>
      </w:r>
      <w:r w:rsidRPr="00D76C44">
        <w:rPr>
          <w:sz w:val="28"/>
          <w:szCs w:val="28"/>
        </w:rPr>
        <w:t xml:space="preserve">торговли и общественного питания, </w:t>
      </w:r>
      <w:proofErr w:type="gramStart"/>
      <w:r w:rsidRPr="00D76C44">
        <w:rPr>
          <w:sz w:val="28"/>
          <w:szCs w:val="28"/>
        </w:rPr>
        <w:t>вход</w:t>
      </w:r>
      <w:r w:rsidR="00437FA2" w:rsidRPr="00D76C44">
        <w:rPr>
          <w:sz w:val="28"/>
          <w:szCs w:val="28"/>
        </w:rPr>
        <w:t>ы</w:t>
      </w:r>
      <w:proofErr w:type="gramEnd"/>
      <w:r w:rsidRPr="00D76C44">
        <w:rPr>
          <w:sz w:val="28"/>
          <w:szCs w:val="28"/>
        </w:rPr>
        <w:t xml:space="preserve"> для посетителей которых попада</w:t>
      </w:r>
      <w:r w:rsidR="00437FA2" w:rsidRPr="00D76C44">
        <w:rPr>
          <w:sz w:val="28"/>
          <w:szCs w:val="28"/>
        </w:rPr>
        <w:t>ю</w:t>
      </w:r>
      <w:r w:rsidRPr="00D76C44">
        <w:rPr>
          <w:sz w:val="28"/>
          <w:szCs w:val="28"/>
        </w:rPr>
        <w:t>т в границы прилегающих территорий организаций, объектов и (или) территорий, указанных в пунктах 2.1, 2.2, 2.4 настоящего Порядка.</w:t>
      </w:r>
      <w:r w:rsidR="00683B9D" w:rsidRPr="00D76C44">
        <w:rPr>
          <w:sz w:val="28"/>
          <w:szCs w:val="28"/>
        </w:rPr>
        <w:t>».</w:t>
      </w:r>
    </w:p>
    <w:p w:rsidR="00746A12" w:rsidRPr="00D76C44" w:rsidRDefault="00DC4119" w:rsidP="00DC411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C44">
        <w:rPr>
          <w:sz w:val="28"/>
          <w:szCs w:val="28"/>
        </w:rPr>
        <w:t>2.</w:t>
      </w:r>
      <w:r w:rsidR="00D76C44">
        <w:rPr>
          <w:sz w:val="28"/>
          <w:szCs w:val="28"/>
        </w:rPr>
        <w:t> </w:t>
      </w:r>
      <w:r w:rsidR="00C66499" w:rsidRPr="00D76C44">
        <w:rPr>
          <w:sz w:val="28"/>
          <w:szCs w:val="28"/>
        </w:rPr>
        <w:t>Абзац тр</w:t>
      </w:r>
      <w:r w:rsidR="00437FA2" w:rsidRPr="00D76C44">
        <w:rPr>
          <w:sz w:val="28"/>
          <w:szCs w:val="28"/>
        </w:rPr>
        <w:t>етий</w:t>
      </w:r>
      <w:r w:rsidR="00C66499" w:rsidRPr="00D76C44">
        <w:rPr>
          <w:sz w:val="28"/>
          <w:szCs w:val="28"/>
        </w:rPr>
        <w:t xml:space="preserve"> пункта 3.6 </w:t>
      </w:r>
      <w:r w:rsidRPr="00D76C44">
        <w:rPr>
          <w:sz w:val="28"/>
          <w:szCs w:val="28"/>
        </w:rPr>
        <w:t>раздел</w:t>
      </w:r>
      <w:r w:rsidR="00C66499" w:rsidRPr="00D76C44">
        <w:rPr>
          <w:sz w:val="28"/>
          <w:szCs w:val="28"/>
        </w:rPr>
        <w:t>а</w:t>
      </w:r>
      <w:r w:rsidRPr="00D76C44">
        <w:rPr>
          <w:sz w:val="28"/>
          <w:szCs w:val="28"/>
        </w:rPr>
        <w:t xml:space="preserve"> </w:t>
      </w:r>
      <w:r w:rsidRPr="00D76C44">
        <w:rPr>
          <w:sz w:val="28"/>
          <w:szCs w:val="28"/>
          <w:lang w:val="en-US"/>
        </w:rPr>
        <w:t>I</w:t>
      </w:r>
      <w:r w:rsidRPr="00D76C44">
        <w:rPr>
          <w:sz w:val="28"/>
          <w:szCs w:val="28"/>
        </w:rPr>
        <w:t>I</w:t>
      </w:r>
      <w:r w:rsidRPr="00D76C44">
        <w:rPr>
          <w:sz w:val="28"/>
          <w:szCs w:val="28"/>
          <w:lang w:val="en-US"/>
        </w:rPr>
        <w:t>I</w:t>
      </w:r>
      <w:r w:rsidRPr="00D76C44">
        <w:rPr>
          <w:sz w:val="28"/>
          <w:szCs w:val="28"/>
        </w:rPr>
        <w:t xml:space="preserve"> «Изменение границ прилегающих к организациям и (или) объектам территорий» Порядка</w:t>
      </w:r>
      <w:r w:rsidR="00C66499" w:rsidRPr="00D76C44">
        <w:rPr>
          <w:sz w:val="28"/>
          <w:szCs w:val="28"/>
        </w:rPr>
        <w:t xml:space="preserve"> </w:t>
      </w:r>
      <w:r w:rsidR="00746A12" w:rsidRPr="00D76C44">
        <w:rPr>
          <w:sz w:val="28"/>
          <w:szCs w:val="28"/>
        </w:rPr>
        <w:t>исключить.</w:t>
      </w:r>
    </w:p>
    <w:p w:rsidR="00746A12" w:rsidRPr="00D76C44" w:rsidRDefault="00746A12" w:rsidP="00D76C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68EB" w:rsidRPr="00D76C44" w:rsidRDefault="000968EB" w:rsidP="00D76C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00E2" w:rsidRDefault="00AB00E2" w:rsidP="00D76C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76C44" w:rsidTr="00D76C44">
        <w:tc>
          <w:tcPr>
            <w:tcW w:w="4785" w:type="dxa"/>
          </w:tcPr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6C44">
              <w:rPr>
                <w:sz w:val="28"/>
                <w:szCs w:val="28"/>
              </w:rPr>
              <w:t>Руководитель управления</w:t>
            </w: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76C44">
              <w:rPr>
                <w:sz w:val="28"/>
                <w:szCs w:val="28"/>
              </w:rPr>
              <w:t>азвития</w:t>
            </w:r>
            <w:r>
              <w:rPr>
                <w:sz w:val="28"/>
                <w:szCs w:val="28"/>
              </w:rPr>
              <w:t xml:space="preserve"> </w:t>
            </w:r>
            <w:r w:rsidRPr="00D76C44">
              <w:rPr>
                <w:sz w:val="28"/>
                <w:szCs w:val="28"/>
              </w:rPr>
              <w:t>предпринимательства,</w:t>
            </w: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6C44">
              <w:rPr>
                <w:sz w:val="28"/>
                <w:szCs w:val="28"/>
              </w:rPr>
              <w:t>потребительского</w:t>
            </w:r>
            <w:r>
              <w:rPr>
                <w:sz w:val="28"/>
                <w:szCs w:val="28"/>
              </w:rPr>
              <w:t xml:space="preserve"> </w:t>
            </w:r>
            <w:r w:rsidRPr="00D76C44">
              <w:rPr>
                <w:sz w:val="28"/>
                <w:szCs w:val="28"/>
              </w:rPr>
              <w:t>рынка</w:t>
            </w: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6C44">
              <w:rPr>
                <w:sz w:val="28"/>
                <w:szCs w:val="28"/>
              </w:rPr>
              <w:t>и инновационной политики</w:t>
            </w:r>
          </w:p>
        </w:tc>
        <w:tc>
          <w:tcPr>
            <w:tcW w:w="4785" w:type="dxa"/>
          </w:tcPr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76C44" w:rsidRDefault="00D76C44" w:rsidP="00D76C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76C44">
              <w:rPr>
                <w:sz w:val="28"/>
                <w:szCs w:val="28"/>
              </w:rPr>
              <w:t>Ю.О. Провоторова</w:t>
            </w:r>
          </w:p>
        </w:tc>
      </w:tr>
    </w:tbl>
    <w:p w:rsidR="00386E5D" w:rsidRPr="00D76C44" w:rsidRDefault="00386E5D" w:rsidP="00D76C4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"/>
          <w:szCs w:val="2"/>
          <w:lang w:eastAsia="en-US"/>
        </w:rPr>
      </w:pPr>
    </w:p>
    <w:sectPr w:rsidR="00386E5D" w:rsidRPr="00D76C44" w:rsidSect="00D76C44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1ED" w:rsidRDefault="009431ED" w:rsidP="005F5E71">
      <w:r>
        <w:separator/>
      </w:r>
    </w:p>
  </w:endnote>
  <w:endnote w:type="continuationSeparator" w:id="0">
    <w:p w:rsidR="009431ED" w:rsidRDefault="009431ED" w:rsidP="005F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1ED" w:rsidRDefault="009431ED" w:rsidP="005F5E71">
      <w:r>
        <w:separator/>
      </w:r>
    </w:p>
  </w:footnote>
  <w:footnote w:type="continuationSeparator" w:id="0">
    <w:p w:rsidR="009431ED" w:rsidRDefault="009431ED" w:rsidP="005F5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10121"/>
      <w:docPartObj>
        <w:docPartGallery w:val="Page Numbers (Top of Page)"/>
        <w:docPartUnique/>
      </w:docPartObj>
    </w:sdtPr>
    <w:sdtEndPr/>
    <w:sdtContent>
      <w:p w:rsidR="000825BB" w:rsidRDefault="000825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C3B">
          <w:rPr>
            <w:noProof/>
          </w:rPr>
          <w:t>2</w:t>
        </w:r>
        <w:r>
          <w:fldChar w:fldCharType="end"/>
        </w:r>
      </w:p>
    </w:sdtContent>
  </w:sdt>
  <w:p w:rsidR="005F5E71" w:rsidRDefault="005F5E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BB" w:rsidRDefault="000825BB">
    <w:pPr>
      <w:pStyle w:val="a7"/>
      <w:jc w:val="center"/>
    </w:pPr>
  </w:p>
  <w:p w:rsidR="000825BB" w:rsidRDefault="000825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10DF"/>
    <w:multiLevelType w:val="hybridMultilevel"/>
    <w:tmpl w:val="E35E53FC"/>
    <w:lvl w:ilvl="0" w:tplc="4956F0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23F56"/>
    <w:multiLevelType w:val="multilevel"/>
    <w:tmpl w:val="287206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">
    <w:nsid w:val="19656D3D"/>
    <w:multiLevelType w:val="hybridMultilevel"/>
    <w:tmpl w:val="1206F24C"/>
    <w:lvl w:ilvl="0" w:tplc="9152712C">
      <w:start w:val="3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25443"/>
    <w:multiLevelType w:val="hybridMultilevel"/>
    <w:tmpl w:val="9CB2F5EC"/>
    <w:lvl w:ilvl="0" w:tplc="2FAAD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965EDF"/>
    <w:multiLevelType w:val="hybridMultilevel"/>
    <w:tmpl w:val="E482D488"/>
    <w:lvl w:ilvl="0" w:tplc="4956F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D6F1F"/>
    <w:multiLevelType w:val="hybridMultilevel"/>
    <w:tmpl w:val="92486680"/>
    <w:lvl w:ilvl="0" w:tplc="0C3CB7B8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917AFC"/>
    <w:multiLevelType w:val="hybridMultilevel"/>
    <w:tmpl w:val="B3DCB4FE"/>
    <w:lvl w:ilvl="0" w:tplc="932A4454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9C6EC1"/>
    <w:multiLevelType w:val="hybridMultilevel"/>
    <w:tmpl w:val="A76C5B52"/>
    <w:lvl w:ilvl="0" w:tplc="DD8E1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6488F"/>
    <w:multiLevelType w:val="hybridMultilevel"/>
    <w:tmpl w:val="AC26BFA0"/>
    <w:lvl w:ilvl="0" w:tplc="79647A3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62FAA"/>
    <w:multiLevelType w:val="hybridMultilevel"/>
    <w:tmpl w:val="504E47E6"/>
    <w:lvl w:ilvl="0" w:tplc="DD8E1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2E80C3D"/>
    <w:multiLevelType w:val="hybridMultilevel"/>
    <w:tmpl w:val="86D88180"/>
    <w:lvl w:ilvl="0" w:tplc="1E947E6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2">
    <w:nsid w:val="45190411"/>
    <w:multiLevelType w:val="multilevel"/>
    <w:tmpl w:val="906AC5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2FE03A0"/>
    <w:multiLevelType w:val="hybridMultilevel"/>
    <w:tmpl w:val="F43066B6"/>
    <w:lvl w:ilvl="0" w:tplc="02889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6215A3E"/>
    <w:multiLevelType w:val="hybridMultilevel"/>
    <w:tmpl w:val="AD90DFE6"/>
    <w:lvl w:ilvl="0" w:tplc="4956F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F653E"/>
    <w:multiLevelType w:val="hybridMultilevel"/>
    <w:tmpl w:val="9E769C00"/>
    <w:lvl w:ilvl="0" w:tplc="02889BD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AD0BD7"/>
    <w:multiLevelType w:val="hybridMultilevel"/>
    <w:tmpl w:val="C8145188"/>
    <w:lvl w:ilvl="0" w:tplc="4956F0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797675BA"/>
    <w:multiLevelType w:val="hybridMultilevel"/>
    <w:tmpl w:val="4AF05762"/>
    <w:lvl w:ilvl="0" w:tplc="DD8E1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035B59"/>
    <w:multiLevelType w:val="multilevel"/>
    <w:tmpl w:val="4E00D9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4"/>
  </w:num>
  <w:num w:numId="5">
    <w:abstractNumId w:val="3"/>
  </w:num>
  <w:num w:numId="6">
    <w:abstractNumId w:val="18"/>
  </w:num>
  <w:num w:numId="7">
    <w:abstractNumId w:val="13"/>
  </w:num>
  <w:num w:numId="8">
    <w:abstractNumId w:val="15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8"/>
  </w:num>
  <w:num w:numId="14">
    <w:abstractNumId w:val="2"/>
  </w:num>
  <w:num w:numId="15">
    <w:abstractNumId w:val="10"/>
  </w:num>
  <w:num w:numId="16">
    <w:abstractNumId w:val="17"/>
  </w:num>
  <w:num w:numId="17">
    <w:abstractNumId w:val="7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54"/>
    <w:rsid w:val="00000F78"/>
    <w:rsid w:val="0000170A"/>
    <w:rsid w:val="00001F90"/>
    <w:rsid w:val="00005CEA"/>
    <w:rsid w:val="000136C1"/>
    <w:rsid w:val="00013CE4"/>
    <w:rsid w:val="00014DE5"/>
    <w:rsid w:val="00020717"/>
    <w:rsid w:val="0002355A"/>
    <w:rsid w:val="00030F39"/>
    <w:rsid w:val="00032C81"/>
    <w:rsid w:val="00045707"/>
    <w:rsid w:val="00055BE0"/>
    <w:rsid w:val="000571C2"/>
    <w:rsid w:val="00060177"/>
    <w:rsid w:val="00064825"/>
    <w:rsid w:val="000672B2"/>
    <w:rsid w:val="000722EE"/>
    <w:rsid w:val="00073222"/>
    <w:rsid w:val="000825BB"/>
    <w:rsid w:val="00084EDF"/>
    <w:rsid w:val="00085460"/>
    <w:rsid w:val="000968EB"/>
    <w:rsid w:val="00097F7F"/>
    <w:rsid w:val="000A4446"/>
    <w:rsid w:val="000A62C5"/>
    <w:rsid w:val="000B7DFE"/>
    <w:rsid w:val="000C5551"/>
    <w:rsid w:val="000C58FB"/>
    <w:rsid w:val="000E7175"/>
    <w:rsid w:val="000F166A"/>
    <w:rsid w:val="001008D5"/>
    <w:rsid w:val="00110631"/>
    <w:rsid w:val="0011069D"/>
    <w:rsid w:val="00110ED3"/>
    <w:rsid w:val="00111F3F"/>
    <w:rsid w:val="00114949"/>
    <w:rsid w:val="001154AC"/>
    <w:rsid w:val="00115974"/>
    <w:rsid w:val="001254EB"/>
    <w:rsid w:val="00126242"/>
    <w:rsid w:val="00137168"/>
    <w:rsid w:val="00155D96"/>
    <w:rsid w:val="00157F7E"/>
    <w:rsid w:val="001612DC"/>
    <w:rsid w:val="001627E7"/>
    <w:rsid w:val="0016653B"/>
    <w:rsid w:val="001672E4"/>
    <w:rsid w:val="00170AA2"/>
    <w:rsid w:val="00173CC8"/>
    <w:rsid w:val="00175EF5"/>
    <w:rsid w:val="001802E8"/>
    <w:rsid w:val="001820CC"/>
    <w:rsid w:val="00187667"/>
    <w:rsid w:val="00193D44"/>
    <w:rsid w:val="00195B3B"/>
    <w:rsid w:val="001A00A1"/>
    <w:rsid w:val="001A087F"/>
    <w:rsid w:val="001B1824"/>
    <w:rsid w:val="001B7346"/>
    <w:rsid w:val="001C47D5"/>
    <w:rsid w:val="001D0182"/>
    <w:rsid w:val="001D1F73"/>
    <w:rsid w:val="001D3230"/>
    <w:rsid w:val="001D3F24"/>
    <w:rsid w:val="001D7B0F"/>
    <w:rsid w:val="001E7EC2"/>
    <w:rsid w:val="001F2EEF"/>
    <w:rsid w:val="001F6467"/>
    <w:rsid w:val="001F72D0"/>
    <w:rsid w:val="001F7C04"/>
    <w:rsid w:val="0020295C"/>
    <w:rsid w:val="00205893"/>
    <w:rsid w:val="00207577"/>
    <w:rsid w:val="002076BD"/>
    <w:rsid w:val="002115C7"/>
    <w:rsid w:val="0022315E"/>
    <w:rsid w:val="002235C7"/>
    <w:rsid w:val="00223815"/>
    <w:rsid w:val="00230E12"/>
    <w:rsid w:val="002313DB"/>
    <w:rsid w:val="002362E5"/>
    <w:rsid w:val="0024126C"/>
    <w:rsid w:val="00243B70"/>
    <w:rsid w:val="00251016"/>
    <w:rsid w:val="00263AC9"/>
    <w:rsid w:val="0027006C"/>
    <w:rsid w:val="0027024E"/>
    <w:rsid w:val="002831EE"/>
    <w:rsid w:val="00286BD5"/>
    <w:rsid w:val="0028769A"/>
    <w:rsid w:val="002908D0"/>
    <w:rsid w:val="00296BC7"/>
    <w:rsid w:val="0029750E"/>
    <w:rsid w:val="002A0C9F"/>
    <w:rsid w:val="002A4757"/>
    <w:rsid w:val="002B5D5A"/>
    <w:rsid w:val="002B6059"/>
    <w:rsid w:val="002B61CC"/>
    <w:rsid w:val="002C6AF4"/>
    <w:rsid w:val="002D2F16"/>
    <w:rsid w:val="002E2EA0"/>
    <w:rsid w:val="002E4E5B"/>
    <w:rsid w:val="002E6B69"/>
    <w:rsid w:val="002F3FB3"/>
    <w:rsid w:val="002F6C09"/>
    <w:rsid w:val="00307D9C"/>
    <w:rsid w:val="00313EBF"/>
    <w:rsid w:val="003160C5"/>
    <w:rsid w:val="0031704E"/>
    <w:rsid w:val="00317A90"/>
    <w:rsid w:val="0032304B"/>
    <w:rsid w:val="003244D7"/>
    <w:rsid w:val="00324A32"/>
    <w:rsid w:val="003400EC"/>
    <w:rsid w:val="00342706"/>
    <w:rsid w:val="00354A27"/>
    <w:rsid w:val="00354BAA"/>
    <w:rsid w:val="00356697"/>
    <w:rsid w:val="00360CD6"/>
    <w:rsid w:val="00367DEF"/>
    <w:rsid w:val="0037660D"/>
    <w:rsid w:val="00380FD4"/>
    <w:rsid w:val="003830C8"/>
    <w:rsid w:val="00383424"/>
    <w:rsid w:val="00386E5D"/>
    <w:rsid w:val="00391EFE"/>
    <w:rsid w:val="0039342B"/>
    <w:rsid w:val="00396281"/>
    <w:rsid w:val="00397DDF"/>
    <w:rsid w:val="003A2C6D"/>
    <w:rsid w:val="003B1D1A"/>
    <w:rsid w:val="003B2FE4"/>
    <w:rsid w:val="003B407D"/>
    <w:rsid w:val="003B478B"/>
    <w:rsid w:val="003C055B"/>
    <w:rsid w:val="003C58E3"/>
    <w:rsid w:val="003C661B"/>
    <w:rsid w:val="003E1BBF"/>
    <w:rsid w:val="003E1E24"/>
    <w:rsid w:val="003E32FE"/>
    <w:rsid w:val="003E3A6F"/>
    <w:rsid w:val="003E691E"/>
    <w:rsid w:val="003E71BC"/>
    <w:rsid w:val="003F7228"/>
    <w:rsid w:val="00400346"/>
    <w:rsid w:val="004069AB"/>
    <w:rsid w:val="00406C4B"/>
    <w:rsid w:val="00410AEA"/>
    <w:rsid w:val="00410F79"/>
    <w:rsid w:val="0041648C"/>
    <w:rsid w:val="00427C8C"/>
    <w:rsid w:val="004331B5"/>
    <w:rsid w:val="00433B8B"/>
    <w:rsid w:val="00437FA2"/>
    <w:rsid w:val="00441CA7"/>
    <w:rsid w:val="00444BED"/>
    <w:rsid w:val="00446E1E"/>
    <w:rsid w:val="00451D7F"/>
    <w:rsid w:val="0046484A"/>
    <w:rsid w:val="00467F28"/>
    <w:rsid w:val="00472BA6"/>
    <w:rsid w:val="004773D7"/>
    <w:rsid w:val="004841C7"/>
    <w:rsid w:val="004928B6"/>
    <w:rsid w:val="00496C57"/>
    <w:rsid w:val="004A264B"/>
    <w:rsid w:val="004B1EFB"/>
    <w:rsid w:val="004C04B1"/>
    <w:rsid w:val="004C5E9B"/>
    <w:rsid w:val="004D0894"/>
    <w:rsid w:val="004D2CFD"/>
    <w:rsid w:val="004E3158"/>
    <w:rsid w:val="004E5175"/>
    <w:rsid w:val="004F0819"/>
    <w:rsid w:val="004F134C"/>
    <w:rsid w:val="004F4FA6"/>
    <w:rsid w:val="004F50EF"/>
    <w:rsid w:val="00500F91"/>
    <w:rsid w:val="00501C39"/>
    <w:rsid w:val="00514C38"/>
    <w:rsid w:val="005164AA"/>
    <w:rsid w:val="005221C2"/>
    <w:rsid w:val="00526239"/>
    <w:rsid w:val="00533196"/>
    <w:rsid w:val="00536400"/>
    <w:rsid w:val="00537917"/>
    <w:rsid w:val="00544117"/>
    <w:rsid w:val="00547C69"/>
    <w:rsid w:val="0055275A"/>
    <w:rsid w:val="0055596C"/>
    <w:rsid w:val="00561037"/>
    <w:rsid w:val="00564945"/>
    <w:rsid w:val="00572237"/>
    <w:rsid w:val="00584D91"/>
    <w:rsid w:val="005853E6"/>
    <w:rsid w:val="005915DD"/>
    <w:rsid w:val="005A3816"/>
    <w:rsid w:val="005B1253"/>
    <w:rsid w:val="005B12A0"/>
    <w:rsid w:val="005B2FA3"/>
    <w:rsid w:val="005B667F"/>
    <w:rsid w:val="005C1F2E"/>
    <w:rsid w:val="005C2499"/>
    <w:rsid w:val="005D02ED"/>
    <w:rsid w:val="005D3E01"/>
    <w:rsid w:val="005D5217"/>
    <w:rsid w:val="005E4AC9"/>
    <w:rsid w:val="005E4FFA"/>
    <w:rsid w:val="005F5E71"/>
    <w:rsid w:val="00600B0E"/>
    <w:rsid w:val="006035C6"/>
    <w:rsid w:val="006175EF"/>
    <w:rsid w:val="00636FF4"/>
    <w:rsid w:val="006374CA"/>
    <w:rsid w:val="006435DE"/>
    <w:rsid w:val="006438CF"/>
    <w:rsid w:val="00652555"/>
    <w:rsid w:val="00653F55"/>
    <w:rsid w:val="00660FFB"/>
    <w:rsid w:val="00666637"/>
    <w:rsid w:val="006729AF"/>
    <w:rsid w:val="00673361"/>
    <w:rsid w:val="00677EBF"/>
    <w:rsid w:val="00683B9D"/>
    <w:rsid w:val="00687A7A"/>
    <w:rsid w:val="006A355D"/>
    <w:rsid w:val="006B795D"/>
    <w:rsid w:val="006C1B0A"/>
    <w:rsid w:val="006E109F"/>
    <w:rsid w:val="006E1A9A"/>
    <w:rsid w:val="006E2AB3"/>
    <w:rsid w:val="006F15AC"/>
    <w:rsid w:val="006F2BDB"/>
    <w:rsid w:val="006F314B"/>
    <w:rsid w:val="006F4414"/>
    <w:rsid w:val="006F5E58"/>
    <w:rsid w:val="00705EEF"/>
    <w:rsid w:val="0071480A"/>
    <w:rsid w:val="0071627E"/>
    <w:rsid w:val="00725FF5"/>
    <w:rsid w:val="0073241E"/>
    <w:rsid w:val="007325D6"/>
    <w:rsid w:val="00736070"/>
    <w:rsid w:val="00737607"/>
    <w:rsid w:val="007402B2"/>
    <w:rsid w:val="0074455B"/>
    <w:rsid w:val="0074590A"/>
    <w:rsid w:val="00745AD2"/>
    <w:rsid w:val="00746A12"/>
    <w:rsid w:val="0075141A"/>
    <w:rsid w:val="00761877"/>
    <w:rsid w:val="00765CD3"/>
    <w:rsid w:val="00766E75"/>
    <w:rsid w:val="007722CF"/>
    <w:rsid w:val="00783864"/>
    <w:rsid w:val="00784C3B"/>
    <w:rsid w:val="00785C8C"/>
    <w:rsid w:val="00787D45"/>
    <w:rsid w:val="00793C32"/>
    <w:rsid w:val="007A146A"/>
    <w:rsid w:val="007A20F1"/>
    <w:rsid w:val="007A3F5D"/>
    <w:rsid w:val="007A6DB0"/>
    <w:rsid w:val="007A7EE2"/>
    <w:rsid w:val="007B2CC9"/>
    <w:rsid w:val="007B344E"/>
    <w:rsid w:val="007B5FAD"/>
    <w:rsid w:val="007B654C"/>
    <w:rsid w:val="007C21DF"/>
    <w:rsid w:val="007C31CC"/>
    <w:rsid w:val="007C6BE6"/>
    <w:rsid w:val="007C7A24"/>
    <w:rsid w:val="007D5BD5"/>
    <w:rsid w:val="007E3540"/>
    <w:rsid w:val="007E4162"/>
    <w:rsid w:val="007E5E32"/>
    <w:rsid w:val="007E7B90"/>
    <w:rsid w:val="007F4820"/>
    <w:rsid w:val="007F50D6"/>
    <w:rsid w:val="007F6133"/>
    <w:rsid w:val="00802B6F"/>
    <w:rsid w:val="0080726A"/>
    <w:rsid w:val="00815799"/>
    <w:rsid w:val="008161AC"/>
    <w:rsid w:val="0083111F"/>
    <w:rsid w:val="008350E7"/>
    <w:rsid w:val="00837A86"/>
    <w:rsid w:val="00840377"/>
    <w:rsid w:val="00841EA1"/>
    <w:rsid w:val="0084334B"/>
    <w:rsid w:val="00845DA5"/>
    <w:rsid w:val="0084626C"/>
    <w:rsid w:val="008501DF"/>
    <w:rsid w:val="00853362"/>
    <w:rsid w:val="008540D8"/>
    <w:rsid w:val="00862C0C"/>
    <w:rsid w:val="00862FC4"/>
    <w:rsid w:val="0087104B"/>
    <w:rsid w:val="00881952"/>
    <w:rsid w:val="008957F1"/>
    <w:rsid w:val="008A0843"/>
    <w:rsid w:val="008A1238"/>
    <w:rsid w:val="008A2E94"/>
    <w:rsid w:val="008A2EF0"/>
    <w:rsid w:val="008A7972"/>
    <w:rsid w:val="008B24C8"/>
    <w:rsid w:val="008B3693"/>
    <w:rsid w:val="008B49FC"/>
    <w:rsid w:val="008B4F23"/>
    <w:rsid w:val="008C4275"/>
    <w:rsid w:val="008C43F5"/>
    <w:rsid w:val="008D5416"/>
    <w:rsid w:val="008E061E"/>
    <w:rsid w:val="008E59E3"/>
    <w:rsid w:val="008F004C"/>
    <w:rsid w:val="008F0B9E"/>
    <w:rsid w:val="008F1C99"/>
    <w:rsid w:val="008F26DB"/>
    <w:rsid w:val="008F603D"/>
    <w:rsid w:val="008F7FDE"/>
    <w:rsid w:val="00901A64"/>
    <w:rsid w:val="00903444"/>
    <w:rsid w:val="00906097"/>
    <w:rsid w:val="009076F7"/>
    <w:rsid w:val="00910A7D"/>
    <w:rsid w:val="00915712"/>
    <w:rsid w:val="00917020"/>
    <w:rsid w:val="0092484C"/>
    <w:rsid w:val="00925B2C"/>
    <w:rsid w:val="009275E4"/>
    <w:rsid w:val="00936198"/>
    <w:rsid w:val="009362AB"/>
    <w:rsid w:val="0093664A"/>
    <w:rsid w:val="009431ED"/>
    <w:rsid w:val="00944581"/>
    <w:rsid w:val="00952394"/>
    <w:rsid w:val="00955598"/>
    <w:rsid w:val="00963DE0"/>
    <w:rsid w:val="0096616F"/>
    <w:rsid w:val="009673EB"/>
    <w:rsid w:val="00967767"/>
    <w:rsid w:val="0097244D"/>
    <w:rsid w:val="00982998"/>
    <w:rsid w:val="00994D55"/>
    <w:rsid w:val="00994FDB"/>
    <w:rsid w:val="009A1A2C"/>
    <w:rsid w:val="009A33B6"/>
    <w:rsid w:val="009A3F3B"/>
    <w:rsid w:val="009A3F42"/>
    <w:rsid w:val="009A6444"/>
    <w:rsid w:val="009A732F"/>
    <w:rsid w:val="009B2286"/>
    <w:rsid w:val="009B2E51"/>
    <w:rsid w:val="009B4255"/>
    <w:rsid w:val="009B5656"/>
    <w:rsid w:val="009C120A"/>
    <w:rsid w:val="009C4D93"/>
    <w:rsid w:val="009D2E21"/>
    <w:rsid w:val="009E34FD"/>
    <w:rsid w:val="009E5439"/>
    <w:rsid w:val="009F4477"/>
    <w:rsid w:val="00A00400"/>
    <w:rsid w:val="00A00E5A"/>
    <w:rsid w:val="00A047BE"/>
    <w:rsid w:val="00A053CE"/>
    <w:rsid w:val="00A174F3"/>
    <w:rsid w:val="00A26900"/>
    <w:rsid w:val="00A3013A"/>
    <w:rsid w:val="00A342B6"/>
    <w:rsid w:val="00A35B1A"/>
    <w:rsid w:val="00A44E5F"/>
    <w:rsid w:val="00A532B8"/>
    <w:rsid w:val="00A536B4"/>
    <w:rsid w:val="00A60BED"/>
    <w:rsid w:val="00A62871"/>
    <w:rsid w:val="00A62874"/>
    <w:rsid w:val="00A62BBA"/>
    <w:rsid w:val="00A739C7"/>
    <w:rsid w:val="00A7584F"/>
    <w:rsid w:val="00A76753"/>
    <w:rsid w:val="00A84845"/>
    <w:rsid w:val="00A93951"/>
    <w:rsid w:val="00AA0F96"/>
    <w:rsid w:val="00AA5671"/>
    <w:rsid w:val="00AB00E2"/>
    <w:rsid w:val="00AB0B6E"/>
    <w:rsid w:val="00AB2CE6"/>
    <w:rsid w:val="00AC02C2"/>
    <w:rsid w:val="00AC1FB2"/>
    <w:rsid w:val="00AD4411"/>
    <w:rsid w:val="00AD5B1C"/>
    <w:rsid w:val="00AD62CD"/>
    <w:rsid w:val="00AD7D40"/>
    <w:rsid w:val="00AE133C"/>
    <w:rsid w:val="00AE175C"/>
    <w:rsid w:val="00AE4088"/>
    <w:rsid w:val="00AE6D1B"/>
    <w:rsid w:val="00AE79DD"/>
    <w:rsid w:val="00AF04F0"/>
    <w:rsid w:val="00AF2B17"/>
    <w:rsid w:val="00AF4EB2"/>
    <w:rsid w:val="00B03CD7"/>
    <w:rsid w:val="00B13B99"/>
    <w:rsid w:val="00B16504"/>
    <w:rsid w:val="00B25B89"/>
    <w:rsid w:val="00B264D3"/>
    <w:rsid w:val="00B278BC"/>
    <w:rsid w:val="00B40A16"/>
    <w:rsid w:val="00B44B53"/>
    <w:rsid w:val="00B45FB8"/>
    <w:rsid w:val="00B5477B"/>
    <w:rsid w:val="00B63A4C"/>
    <w:rsid w:val="00B64256"/>
    <w:rsid w:val="00B651B0"/>
    <w:rsid w:val="00B926EA"/>
    <w:rsid w:val="00B9589C"/>
    <w:rsid w:val="00B9769A"/>
    <w:rsid w:val="00B97ACB"/>
    <w:rsid w:val="00B97DB8"/>
    <w:rsid w:val="00BB367E"/>
    <w:rsid w:val="00BB47D2"/>
    <w:rsid w:val="00BB6813"/>
    <w:rsid w:val="00BB7930"/>
    <w:rsid w:val="00BC1B34"/>
    <w:rsid w:val="00BC6D61"/>
    <w:rsid w:val="00BC71CC"/>
    <w:rsid w:val="00BD3052"/>
    <w:rsid w:val="00BE3C4B"/>
    <w:rsid w:val="00BF65E0"/>
    <w:rsid w:val="00BF746B"/>
    <w:rsid w:val="00BF7FBE"/>
    <w:rsid w:val="00C07BB6"/>
    <w:rsid w:val="00C13288"/>
    <w:rsid w:val="00C145B1"/>
    <w:rsid w:val="00C14AD6"/>
    <w:rsid w:val="00C20295"/>
    <w:rsid w:val="00C314B0"/>
    <w:rsid w:val="00C330B4"/>
    <w:rsid w:val="00C5060D"/>
    <w:rsid w:val="00C50C7F"/>
    <w:rsid w:val="00C52137"/>
    <w:rsid w:val="00C52B91"/>
    <w:rsid w:val="00C57FAE"/>
    <w:rsid w:val="00C66499"/>
    <w:rsid w:val="00C71F92"/>
    <w:rsid w:val="00C74E40"/>
    <w:rsid w:val="00C813B6"/>
    <w:rsid w:val="00C8554D"/>
    <w:rsid w:val="00C91C23"/>
    <w:rsid w:val="00C94479"/>
    <w:rsid w:val="00C94B8F"/>
    <w:rsid w:val="00C96B04"/>
    <w:rsid w:val="00CB68E1"/>
    <w:rsid w:val="00CC50D6"/>
    <w:rsid w:val="00CD47C2"/>
    <w:rsid w:val="00CD4A98"/>
    <w:rsid w:val="00CD4C01"/>
    <w:rsid w:val="00CE0154"/>
    <w:rsid w:val="00CE6001"/>
    <w:rsid w:val="00CF05EA"/>
    <w:rsid w:val="00CF0F44"/>
    <w:rsid w:val="00CF1270"/>
    <w:rsid w:val="00CF2EA5"/>
    <w:rsid w:val="00CF313C"/>
    <w:rsid w:val="00CF313F"/>
    <w:rsid w:val="00CF3EDE"/>
    <w:rsid w:val="00D01502"/>
    <w:rsid w:val="00D116EB"/>
    <w:rsid w:val="00D164BE"/>
    <w:rsid w:val="00D2392E"/>
    <w:rsid w:val="00D3133F"/>
    <w:rsid w:val="00D46CAE"/>
    <w:rsid w:val="00D54340"/>
    <w:rsid w:val="00D60443"/>
    <w:rsid w:val="00D76992"/>
    <w:rsid w:val="00D76C44"/>
    <w:rsid w:val="00D8015A"/>
    <w:rsid w:val="00D804D4"/>
    <w:rsid w:val="00D821D1"/>
    <w:rsid w:val="00D86226"/>
    <w:rsid w:val="00D93B65"/>
    <w:rsid w:val="00D941E7"/>
    <w:rsid w:val="00DB3FFE"/>
    <w:rsid w:val="00DB531A"/>
    <w:rsid w:val="00DC0536"/>
    <w:rsid w:val="00DC4119"/>
    <w:rsid w:val="00DC6CA0"/>
    <w:rsid w:val="00DE116D"/>
    <w:rsid w:val="00DE4556"/>
    <w:rsid w:val="00DE50E5"/>
    <w:rsid w:val="00DF2CF8"/>
    <w:rsid w:val="00DF5195"/>
    <w:rsid w:val="00DF5691"/>
    <w:rsid w:val="00E02211"/>
    <w:rsid w:val="00E03937"/>
    <w:rsid w:val="00E04DB4"/>
    <w:rsid w:val="00E05CCC"/>
    <w:rsid w:val="00E10DCC"/>
    <w:rsid w:val="00E1202B"/>
    <w:rsid w:val="00E21729"/>
    <w:rsid w:val="00E249AC"/>
    <w:rsid w:val="00E256C7"/>
    <w:rsid w:val="00E37119"/>
    <w:rsid w:val="00E379D1"/>
    <w:rsid w:val="00E40A56"/>
    <w:rsid w:val="00E43A25"/>
    <w:rsid w:val="00E45F77"/>
    <w:rsid w:val="00E5146C"/>
    <w:rsid w:val="00E72D57"/>
    <w:rsid w:val="00E80765"/>
    <w:rsid w:val="00E814CC"/>
    <w:rsid w:val="00E954D0"/>
    <w:rsid w:val="00EA2E97"/>
    <w:rsid w:val="00EA58FF"/>
    <w:rsid w:val="00EA6DC5"/>
    <w:rsid w:val="00EB22F7"/>
    <w:rsid w:val="00EB2BE4"/>
    <w:rsid w:val="00EB3480"/>
    <w:rsid w:val="00EC34AF"/>
    <w:rsid w:val="00EC449A"/>
    <w:rsid w:val="00ED43DF"/>
    <w:rsid w:val="00ED445C"/>
    <w:rsid w:val="00ED5A27"/>
    <w:rsid w:val="00EE179D"/>
    <w:rsid w:val="00EE662F"/>
    <w:rsid w:val="00EF19E1"/>
    <w:rsid w:val="00F003D7"/>
    <w:rsid w:val="00F042FA"/>
    <w:rsid w:val="00F06110"/>
    <w:rsid w:val="00F06473"/>
    <w:rsid w:val="00F125DC"/>
    <w:rsid w:val="00F21CD8"/>
    <w:rsid w:val="00F27635"/>
    <w:rsid w:val="00F276C8"/>
    <w:rsid w:val="00F3173E"/>
    <w:rsid w:val="00F336C8"/>
    <w:rsid w:val="00F341BB"/>
    <w:rsid w:val="00F51747"/>
    <w:rsid w:val="00F55D87"/>
    <w:rsid w:val="00F64455"/>
    <w:rsid w:val="00F67C4F"/>
    <w:rsid w:val="00F722A7"/>
    <w:rsid w:val="00F80483"/>
    <w:rsid w:val="00F8358E"/>
    <w:rsid w:val="00F93B92"/>
    <w:rsid w:val="00FA072F"/>
    <w:rsid w:val="00FA292D"/>
    <w:rsid w:val="00FA38EE"/>
    <w:rsid w:val="00FC1EA9"/>
    <w:rsid w:val="00FC21B8"/>
    <w:rsid w:val="00FC40AF"/>
    <w:rsid w:val="00FD12A5"/>
    <w:rsid w:val="00FD3E19"/>
    <w:rsid w:val="00FD3F17"/>
    <w:rsid w:val="00FD4187"/>
    <w:rsid w:val="00FE030C"/>
    <w:rsid w:val="00FE2959"/>
    <w:rsid w:val="00FE3106"/>
    <w:rsid w:val="00FF1C83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1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3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C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5F5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F5E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E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A7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936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834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1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3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C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5F5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F5E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E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A7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936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83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724CA-8D5A-4EE9-81F3-21404B15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И.М.</dc:creator>
  <cp:lastModifiedBy>Волкова М.Н.</cp:lastModifiedBy>
  <cp:revision>2</cp:revision>
  <cp:lastPrinted>2025-04-21T08:46:00Z</cp:lastPrinted>
  <dcterms:created xsi:type="dcterms:W3CDTF">2025-04-30T08:02:00Z</dcterms:created>
  <dcterms:modified xsi:type="dcterms:W3CDTF">2025-04-30T08:02:00Z</dcterms:modified>
</cp:coreProperties>
</file>