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Pr="00EF3D18" w:rsidRDefault="0087208A" w:rsidP="00303C29">
      <w:pPr>
        <w:pStyle w:val="Standard"/>
        <w:spacing w:line="252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EF3D18">
        <w:rPr>
          <w:rFonts w:cs="Times New Roman"/>
          <w:kern w:val="0"/>
          <w:sz w:val="28"/>
          <w:szCs w:val="28"/>
        </w:rPr>
        <w:t>УТВЕРЖДЕНО</w:t>
      </w:r>
    </w:p>
    <w:p w14:paraId="0CBF8077" w14:textId="77777777" w:rsidR="0087208A" w:rsidRPr="00EF3D18" w:rsidRDefault="0087208A" w:rsidP="00303C29">
      <w:pPr>
        <w:pStyle w:val="Standard"/>
        <w:tabs>
          <w:tab w:val="left" w:pos="5103"/>
        </w:tabs>
        <w:spacing w:line="252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EF3D18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14:paraId="29AFFA2C" w14:textId="77777777" w:rsidR="0087208A" w:rsidRPr="00EF3D18" w:rsidRDefault="0087208A" w:rsidP="00303C29">
      <w:pPr>
        <w:pStyle w:val="Standard"/>
        <w:spacing w:line="252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EF3D18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14:paraId="5F1D3283" w14:textId="21E169CD" w:rsidR="0087208A" w:rsidRPr="00EF3D18" w:rsidRDefault="0087208A" w:rsidP="00303C29">
      <w:pPr>
        <w:pStyle w:val="Standard"/>
        <w:spacing w:line="252" w:lineRule="auto"/>
        <w:ind w:left="5245"/>
        <w:jc w:val="center"/>
        <w:rPr>
          <w:rFonts w:cs="Times New Roman"/>
          <w:kern w:val="0"/>
          <w:sz w:val="28"/>
          <w:szCs w:val="28"/>
        </w:rPr>
      </w:pPr>
      <w:r w:rsidRPr="00EF3D18">
        <w:rPr>
          <w:rFonts w:cs="Times New Roman"/>
          <w:kern w:val="0"/>
          <w:sz w:val="28"/>
          <w:szCs w:val="28"/>
        </w:rPr>
        <w:t>от</w:t>
      </w:r>
      <w:r w:rsidR="00D536C9" w:rsidRPr="00EF3D18">
        <w:rPr>
          <w:rFonts w:cs="Times New Roman"/>
          <w:kern w:val="0"/>
          <w:sz w:val="28"/>
          <w:szCs w:val="28"/>
        </w:rPr>
        <w:t xml:space="preserve"> </w:t>
      </w:r>
      <w:r w:rsidR="00E62F29">
        <w:rPr>
          <w:rFonts w:cs="Times New Roman"/>
          <w:kern w:val="0"/>
          <w:sz w:val="28"/>
          <w:szCs w:val="28"/>
        </w:rPr>
        <w:t xml:space="preserve">16.04.2025   </w:t>
      </w:r>
      <w:r w:rsidRPr="00EF3D18">
        <w:rPr>
          <w:rFonts w:cs="Times New Roman"/>
          <w:kern w:val="0"/>
          <w:sz w:val="28"/>
          <w:szCs w:val="28"/>
        </w:rPr>
        <w:t xml:space="preserve"> № </w:t>
      </w:r>
      <w:r w:rsidR="00E62F29">
        <w:rPr>
          <w:rFonts w:cs="Times New Roman"/>
          <w:kern w:val="0"/>
          <w:sz w:val="28"/>
          <w:szCs w:val="28"/>
        </w:rPr>
        <w:t>569</w:t>
      </w:r>
      <w:bookmarkStart w:id="0" w:name="_GoBack"/>
      <w:bookmarkEnd w:id="0"/>
    </w:p>
    <w:p w14:paraId="64F14B9D" w14:textId="77777777" w:rsidR="0087208A" w:rsidRDefault="0087208A" w:rsidP="00303C29">
      <w:pPr>
        <w:pStyle w:val="Standard"/>
        <w:spacing w:line="252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0E99FD6E" w14:textId="77777777" w:rsidR="00303C29" w:rsidRPr="00EF3D18" w:rsidRDefault="00303C29" w:rsidP="00303C29">
      <w:pPr>
        <w:pStyle w:val="Standard"/>
        <w:spacing w:line="252" w:lineRule="auto"/>
        <w:jc w:val="center"/>
        <w:rPr>
          <w:rFonts w:cs="Times New Roman"/>
          <w:b/>
          <w:bCs/>
          <w:kern w:val="0"/>
          <w:sz w:val="28"/>
          <w:szCs w:val="28"/>
        </w:rPr>
      </w:pPr>
    </w:p>
    <w:p w14:paraId="554C6460" w14:textId="77777777" w:rsidR="002E6C25" w:rsidRDefault="00CB0D11" w:rsidP="002E6C25">
      <w:pPr>
        <w:pStyle w:val="Standard"/>
        <w:spacing w:line="252" w:lineRule="auto"/>
        <w:jc w:val="center"/>
        <w:rPr>
          <w:rFonts w:cs="Times New Roman"/>
          <w:b/>
          <w:bCs/>
          <w:kern w:val="0"/>
          <w:sz w:val="28"/>
          <w:szCs w:val="28"/>
        </w:rPr>
      </w:pPr>
      <w:r w:rsidRPr="00EF3D18">
        <w:rPr>
          <w:rFonts w:cs="Times New Roman"/>
          <w:b/>
          <w:bCs/>
          <w:kern w:val="0"/>
          <w:sz w:val="28"/>
          <w:szCs w:val="28"/>
        </w:rPr>
        <w:t>ЗАДАНИЕ</w:t>
      </w:r>
      <w:r w:rsidR="00303C29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EF3D18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EF3D18">
        <w:rPr>
          <w:rFonts w:cs="Times New Roman"/>
          <w:b/>
          <w:bCs/>
          <w:kern w:val="0"/>
          <w:sz w:val="28"/>
          <w:szCs w:val="28"/>
        </w:rPr>
        <w:t>НА</w:t>
      </w:r>
      <w:r w:rsidR="00303C29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EF3D18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EF3D18">
        <w:rPr>
          <w:rFonts w:cs="Times New Roman"/>
          <w:b/>
          <w:bCs/>
          <w:kern w:val="0"/>
          <w:sz w:val="28"/>
          <w:szCs w:val="28"/>
        </w:rPr>
        <w:t>ПОДГОТОВКУ</w:t>
      </w:r>
      <w:r w:rsidR="00303C29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="00EF3D18">
        <w:rPr>
          <w:rFonts w:cs="Times New Roman"/>
          <w:b/>
          <w:bCs/>
          <w:kern w:val="0"/>
          <w:sz w:val="28"/>
          <w:szCs w:val="28"/>
        </w:rPr>
        <w:t xml:space="preserve"> </w:t>
      </w:r>
    </w:p>
    <w:p w14:paraId="57BD5A81" w14:textId="058E65AF" w:rsidR="00303C29" w:rsidRDefault="002E6C25" w:rsidP="002E6C25">
      <w:pPr>
        <w:pStyle w:val="Standard"/>
        <w:spacing w:line="252" w:lineRule="auto"/>
        <w:jc w:val="center"/>
        <w:rPr>
          <w:rFonts w:cs="Times New Roman"/>
          <w:b/>
          <w:kern w:val="0"/>
          <w:sz w:val="28"/>
          <w:szCs w:val="28"/>
        </w:rPr>
      </w:pPr>
      <w:r>
        <w:rPr>
          <w:rFonts w:cs="Times New Roman"/>
          <w:b/>
          <w:kern w:val="0"/>
          <w:sz w:val="28"/>
          <w:szCs w:val="28"/>
        </w:rPr>
        <w:t>ДОКУМЕНТАЦИИ</w:t>
      </w:r>
      <w:r w:rsidR="00303C29">
        <w:rPr>
          <w:rFonts w:cs="Times New Roman"/>
          <w:b/>
          <w:kern w:val="0"/>
          <w:sz w:val="28"/>
          <w:szCs w:val="28"/>
        </w:rPr>
        <w:t xml:space="preserve">  </w:t>
      </w:r>
      <w:r w:rsidR="00D27E35" w:rsidRPr="00EF3D18">
        <w:rPr>
          <w:rFonts w:cs="Times New Roman"/>
          <w:b/>
          <w:kern w:val="0"/>
          <w:sz w:val="28"/>
          <w:szCs w:val="28"/>
        </w:rPr>
        <w:t>ПО</w:t>
      </w:r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 w:rsidR="00EF3D18">
        <w:rPr>
          <w:rFonts w:cs="Times New Roman"/>
          <w:b/>
          <w:kern w:val="0"/>
          <w:sz w:val="28"/>
          <w:szCs w:val="28"/>
        </w:rPr>
        <w:t xml:space="preserve"> </w:t>
      </w:r>
      <w:r w:rsidR="00D27E35" w:rsidRPr="00EF3D18">
        <w:rPr>
          <w:rFonts w:cs="Times New Roman"/>
          <w:b/>
          <w:kern w:val="0"/>
          <w:sz w:val="28"/>
          <w:szCs w:val="28"/>
        </w:rPr>
        <w:t>ПЛАНИРОВКЕ</w:t>
      </w:r>
      <w:r w:rsidR="00EF3D18">
        <w:rPr>
          <w:rFonts w:cs="Times New Roman"/>
          <w:b/>
          <w:kern w:val="0"/>
          <w:sz w:val="28"/>
          <w:szCs w:val="28"/>
        </w:rPr>
        <w:t xml:space="preserve"> </w:t>
      </w:r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 w:rsidR="00D27E35" w:rsidRPr="00EF3D18">
        <w:rPr>
          <w:rFonts w:cs="Times New Roman"/>
          <w:b/>
          <w:kern w:val="0"/>
          <w:sz w:val="28"/>
          <w:szCs w:val="28"/>
        </w:rPr>
        <w:t>ТЕРРИТОРИИ</w:t>
      </w:r>
    </w:p>
    <w:p w14:paraId="2233E879" w14:textId="04827453" w:rsidR="00881EBC" w:rsidRPr="00EF3D18" w:rsidRDefault="002E6C25" w:rsidP="002E6C25">
      <w:pPr>
        <w:pStyle w:val="Standard"/>
        <w:spacing w:line="252" w:lineRule="auto"/>
        <w:jc w:val="center"/>
        <w:rPr>
          <w:rFonts w:cs="Times New Roman"/>
          <w:b/>
          <w:kern w:val="0"/>
          <w:sz w:val="28"/>
          <w:szCs w:val="28"/>
        </w:rPr>
      </w:pPr>
      <w:r>
        <w:rPr>
          <w:rFonts w:cs="Times New Roman"/>
          <w:b/>
          <w:kern w:val="0"/>
          <w:sz w:val="28"/>
          <w:szCs w:val="28"/>
        </w:rPr>
        <w:t xml:space="preserve">ПО   </w:t>
      </w:r>
      <w:r w:rsidR="00FA3DC9" w:rsidRPr="00EF3D18">
        <w:rPr>
          <w:rFonts w:cs="Times New Roman"/>
          <w:b/>
          <w:kern w:val="0"/>
          <w:sz w:val="28"/>
          <w:szCs w:val="28"/>
        </w:rPr>
        <w:t>УЛ.</w:t>
      </w:r>
      <w:r w:rsidR="00EF3D18">
        <w:rPr>
          <w:rFonts w:cs="Times New Roman"/>
          <w:b/>
          <w:kern w:val="0"/>
          <w:sz w:val="28"/>
          <w:szCs w:val="28"/>
        </w:rPr>
        <w:t xml:space="preserve"> </w:t>
      </w:r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>
        <w:rPr>
          <w:rFonts w:cs="Times New Roman"/>
          <w:b/>
          <w:kern w:val="0"/>
          <w:sz w:val="28"/>
          <w:szCs w:val="28"/>
        </w:rPr>
        <w:t>ОСТРОГОЖСКАЯ    В   КАДАСТРОВОМ   КВАРТАЛЕ   36:34:0405036</w:t>
      </w:r>
      <w:proofErr w:type="gramStart"/>
      <w:r>
        <w:rPr>
          <w:rFonts w:cs="Times New Roman"/>
          <w:b/>
          <w:kern w:val="0"/>
          <w:sz w:val="28"/>
          <w:szCs w:val="28"/>
        </w:rPr>
        <w:t xml:space="preserve">   </w:t>
      </w:r>
      <w:r w:rsidR="00D27E35" w:rsidRPr="00EF3D18">
        <w:rPr>
          <w:rFonts w:cs="Times New Roman"/>
          <w:b/>
          <w:kern w:val="0"/>
          <w:sz w:val="28"/>
          <w:szCs w:val="28"/>
        </w:rPr>
        <w:t>В</w:t>
      </w:r>
      <w:proofErr w:type="gramEnd"/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 w:rsidR="00EF3D18">
        <w:rPr>
          <w:rFonts w:cs="Times New Roman"/>
          <w:b/>
          <w:kern w:val="0"/>
          <w:sz w:val="28"/>
          <w:szCs w:val="28"/>
        </w:rPr>
        <w:t xml:space="preserve"> </w:t>
      </w:r>
      <w:r>
        <w:rPr>
          <w:rFonts w:cs="Times New Roman"/>
          <w:b/>
          <w:kern w:val="0"/>
          <w:sz w:val="28"/>
          <w:szCs w:val="28"/>
        </w:rPr>
        <w:t xml:space="preserve"> </w:t>
      </w:r>
      <w:r w:rsidR="00D27E35" w:rsidRPr="00EF3D18">
        <w:rPr>
          <w:rFonts w:cs="Times New Roman"/>
          <w:b/>
          <w:kern w:val="0"/>
          <w:sz w:val="28"/>
          <w:szCs w:val="28"/>
        </w:rPr>
        <w:t>ГОРОДСКОМ</w:t>
      </w:r>
      <w:r w:rsidR="00EF3D18">
        <w:rPr>
          <w:rFonts w:cs="Times New Roman"/>
          <w:b/>
          <w:kern w:val="0"/>
          <w:sz w:val="28"/>
          <w:szCs w:val="28"/>
        </w:rPr>
        <w:t xml:space="preserve"> </w:t>
      </w:r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>
        <w:rPr>
          <w:rFonts w:cs="Times New Roman"/>
          <w:b/>
          <w:kern w:val="0"/>
          <w:sz w:val="28"/>
          <w:szCs w:val="28"/>
        </w:rPr>
        <w:t xml:space="preserve"> </w:t>
      </w:r>
      <w:r w:rsidR="00D27E35" w:rsidRPr="00EF3D18">
        <w:rPr>
          <w:rFonts w:cs="Times New Roman"/>
          <w:b/>
          <w:kern w:val="0"/>
          <w:sz w:val="28"/>
          <w:szCs w:val="28"/>
        </w:rPr>
        <w:t xml:space="preserve">ОКРУГЕ </w:t>
      </w:r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>
        <w:rPr>
          <w:rFonts w:cs="Times New Roman"/>
          <w:b/>
          <w:kern w:val="0"/>
          <w:sz w:val="28"/>
          <w:szCs w:val="28"/>
        </w:rPr>
        <w:t xml:space="preserve"> </w:t>
      </w:r>
      <w:r w:rsidR="00D27E35" w:rsidRPr="00EF3D18">
        <w:rPr>
          <w:rFonts w:cs="Times New Roman"/>
          <w:b/>
          <w:kern w:val="0"/>
          <w:sz w:val="28"/>
          <w:szCs w:val="28"/>
        </w:rPr>
        <w:t>ГОРОД</w:t>
      </w:r>
      <w:r w:rsidR="00EF3D18">
        <w:rPr>
          <w:rFonts w:cs="Times New Roman"/>
          <w:b/>
          <w:kern w:val="0"/>
          <w:sz w:val="28"/>
          <w:szCs w:val="28"/>
        </w:rPr>
        <w:t xml:space="preserve"> </w:t>
      </w:r>
      <w:r w:rsidR="00303C29">
        <w:rPr>
          <w:rFonts w:cs="Times New Roman"/>
          <w:b/>
          <w:kern w:val="0"/>
          <w:sz w:val="28"/>
          <w:szCs w:val="28"/>
        </w:rPr>
        <w:t xml:space="preserve"> </w:t>
      </w:r>
      <w:r>
        <w:rPr>
          <w:rFonts w:cs="Times New Roman"/>
          <w:b/>
          <w:kern w:val="0"/>
          <w:sz w:val="28"/>
          <w:szCs w:val="28"/>
        </w:rPr>
        <w:t xml:space="preserve"> ВОРОНЕЖ</w:t>
      </w:r>
    </w:p>
    <w:p w14:paraId="78C3ECC4" w14:textId="77777777" w:rsidR="00930B7E" w:rsidRDefault="00930B7E" w:rsidP="00303C29">
      <w:pPr>
        <w:pStyle w:val="Standard"/>
        <w:spacing w:line="252" w:lineRule="auto"/>
        <w:jc w:val="center"/>
        <w:rPr>
          <w:rFonts w:cs="Times New Roman"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7"/>
        <w:gridCol w:w="3118"/>
        <w:gridCol w:w="5855"/>
      </w:tblGrid>
      <w:tr w:rsidR="00EF3D18" w:rsidRPr="00EF3D18" w14:paraId="66AF7E30" w14:textId="77777777" w:rsidTr="00D536C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D1F40" w14:textId="151B3853" w:rsidR="009154B4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 xml:space="preserve">№ </w:t>
            </w:r>
            <w:proofErr w:type="gramStart"/>
            <w:r w:rsidRPr="00EF3D18">
              <w:rPr>
                <w:sz w:val="28"/>
                <w:szCs w:val="28"/>
              </w:rPr>
              <w:t>п</w:t>
            </w:r>
            <w:proofErr w:type="gramEnd"/>
            <w:r w:rsidRPr="00EF3D18">
              <w:rPr>
                <w:sz w:val="28"/>
                <w:szCs w:val="28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4BEE1" w14:textId="20F343E1" w:rsidR="009154B4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9567" w14:textId="54B1D97C" w:rsidR="009154B4" w:rsidRPr="00EF3D18" w:rsidRDefault="00C06629" w:rsidP="00303C29">
            <w:pPr>
              <w:pStyle w:val="ConsNormal"/>
              <w:snapToGrid w:val="0"/>
              <w:spacing w:line="252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D18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EF3D18" w:rsidRPr="00EF3D18" w14:paraId="7C65C994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5B51294F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Вид разрабатываемой документации по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5EF8A606" w:rsidR="00C06629" w:rsidRPr="00EF3D18" w:rsidRDefault="003B5F3D" w:rsidP="00303C29">
            <w:pPr>
              <w:pStyle w:val="ConsNormal"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планировки территории, проект межевания территории в составе проекта планировки территории</w:t>
            </w:r>
          </w:p>
        </w:tc>
      </w:tr>
      <w:tr w:rsidR="00EF3D18" w:rsidRPr="00EF3D18" w14:paraId="05AD449C" w14:textId="77777777" w:rsidTr="00D536C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55A1797D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Инициатор подготовки документации по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20D7F" w14:textId="19E7A74E" w:rsidR="00F66DBE" w:rsidRPr="00303C29" w:rsidRDefault="00FA3DC9" w:rsidP="00303C29">
            <w:pPr>
              <w:pStyle w:val="ConsNormal"/>
              <w:snapToGrid w:val="0"/>
              <w:spacing w:line="252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Общество с</w:t>
            </w:r>
            <w:r w:rsidR="00477D7C"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ограниченной ответственностью С</w:t>
            </w:r>
            <w:r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пециализированный застройщик </w:t>
            </w:r>
            <w:r w:rsidR="008051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Группа Компаний «</w:t>
            </w:r>
            <w:r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Развитие»</w:t>
            </w:r>
            <w:r w:rsidR="003C3A95"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(ООО СЗ </w:t>
            </w:r>
            <w:r w:rsidR="0080515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ГК </w:t>
            </w:r>
            <w:r w:rsidR="003C3A95"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«Развитие»</w:t>
            </w:r>
            <w:r w:rsidR="00477D7C"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)</w:t>
            </w:r>
            <w:r w:rsidR="00A16C81"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14:paraId="66DFE0C2" w14:textId="080858C2" w:rsidR="00A16C81" w:rsidRPr="00303C29" w:rsidRDefault="00805157" w:rsidP="00303C29">
            <w:pPr>
              <w:pStyle w:val="ConsNormal"/>
              <w:snapToGrid w:val="0"/>
              <w:spacing w:line="252" w:lineRule="auto"/>
              <w:ind w:firstLine="0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ОРГН 1143668032705, ИНН 3662205510</w:t>
            </w:r>
            <w:r w:rsidR="00A16C81" w:rsidRPr="00303C29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,</w:t>
            </w:r>
          </w:p>
          <w:p w14:paraId="7C4F34E6" w14:textId="619E8551" w:rsidR="00C06629" w:rsidRPr="00EF3D18" w:rsidRDefault="00A44712" w:rsidP="00303C29">
            <w:pPr>
              <w:pStyle w:val="ConsNormal"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адрес: </w:t>
            </w:r>
            <w:r w:rsidR="008051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394016</w:t>
            </w:r>
            <w:r w:rsidR="003E617B"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</w:t>
            </w:r>
            <w:proofErr w:type="gramStart"/>
            <w:r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Воронежская</w:t>
            </w:r>
            <w:proofErr w:type="gramEnd"/>
            <w:r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обл.</w:t>
            </w:r>
            <w:r w:rsidR="003E617B"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 г</w:t>
            </w:r>
            <w:r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 </w:t>
            </w:r>
            <w:r w:rsidR="003C3A95"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Воронеж, ул. 45 стрелковой дивизии, д. 110, </w:t>
            </w:r>
            <w:proofErr w:type="spellStart"/>
            <w:r w:rsidR="008051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неж</w:t>
            </w:r>
            <w:proofErr w:type="spellEnd"/>
            <w:r w:rsidR="008051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. </w:t>
            </w:r>
            <w:r w:rsidR="003C3A95"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пом. </w:t>
            </w:r>
            <w:r w:rsidR="008051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</w:t>
            </w:r>
            <w:r w:rsidR="003C3A95"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,</w:t>
            </w:r>
            <w:r w:rsidR="00EF3D18" w:rsidRPr="00303C29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80515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офис 1/8</w:t>
            </w:r>
          </w:p>
        </w:tc>
      </w:tr>
      <w:tr w:rsidR="00EF3D18" w:rsidRPr="00EF3D18" w14:paraId="114A137D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676504F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Источник финансирования работ по подготовке документации по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0D0F" w14:textId="77777777" w:rsidR="00303C29" w:rsidRDefault="003C3A95" w:rsidP="00303C29">
            <w:pPr>
              <w:suppressAutoHyphens w:val="0"/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ru-RU"/>
              </w:rPr>
            </w:pPr>
            <w:r w:rsidRPr="00EF3D18">
              <w:rPr>
                <w:sz w:val="28"/>
                <w:szCs w:val="28"/>
                <w:lang w:eastAsia="ru-RU"/>
              </w:rPr>
              <w:t>Собственные средства</w:t>
            </w:r>
          </w:p>
          <w:p w14:paraId="47227E0A" w14:textId="13FB63DB" w:rsidR="00C06629" w:rsidRPr="00EF3D18" w:rsidRDefault="00805157" w:rsidP="00303C29">
            <w:pPr>
              <w:suppressAutoHyphens w:val="0"/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ООО СЗ ГК «</w:t>
            </w:r>
            <w:r w:rsidR="003C3A95" w:rsidRPr="00EF3D18">
              <w:rPr>
                <w:sz w:val="28"/>
                <w:szCs w:val="28"/>
                <w:lang w:eastAsia="ru-RU"/>
              </w:rPr>
              <w:t>Развитие»</w:t>
            </w:r>
          </w:p>
        </w:tc>
      </w:tr>
      <w:tr w:rsidR="00EF3D18" w:rsidRPr="00EF3D18" w14:paraId="2B6C22FF" w14:textId="77777777" w:rsidTr="00805157">
        <w:trPr>
          <w:trHeight w:val="297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42A882D9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bCs/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Вид и наименование планируемого к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1471" w14:textId="2DB8091D" w:rsidR="00AD0C97" w:rsidRPr="00EF3D18" w:rsidRDefault="00D457D3" w:rsidP="00D457D3">
            <w:pPr>
              <w:suppressAutoHyphens w:val="0"/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Общеобразовательн</w:t>
            </w:r>
            <w:r w:rsidR="00BB7E3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е</w:t>
            </w:r>
            <w:r w:rsidR="00BB7E3A">
              <w:rPr>
                <w:sz w:val="28"/>
                <w:szCs w:val="28"/>
              </w:rPr>
              <w:t xml:space="preserve"> учреждени</w:t>
            </w:r>
            <w:r>
              <w:rPr>
                <w:sz w:val="28"/>
                <w:szCs w:val="28"/>
              </w:rPr>
              <w:t>е</w:t>
            </w:r>
            <w:r w:rsidR="00BB7E3A">
              <w:rPr>
                <w:sz w:val="28"/>
                <w:szCs w:val="28"/>
              </w:rPr>
              <w:t xml:space="preserve"> </w:t>
            </w:r>
            <w:r w:rsidR="00805157">
              <w:rPr>
                <w:sz w:val="28"/>
                <w:szCs w:val="28"/>
              </w:rPr>
              <w:t xml:space="preserve"> на                     1010 мест</w:t>
            </w:r>
          </w:p>
        </w:tc>
      </w:tr>
      <w:tr w:rsidR="00EF3D18" w:rsidRPr="00EF3D18" w14:paraId="029C1E4C" w14:textId="77777777" w:rsidTr="00D536C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669A6B8E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730EADF4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EF3D18" w:rsidRDefault="00731597" w:rsidP="00303C29">
            <w:pPr>
              <w:pStyle w:val="ConsNormal"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F3D18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EF3D18" w:rsidRPr="00EF3D18" w14:paraId="353AAD50" w14:textId="77777777" w:rsidTr="00D536C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93BFA" w14:textId="75EDD1F2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 xml:space="preserve">Документация по планировке территории </w:t>
            </w:r>
            <w:r w:rsidR="00D457D3">
              <w:rPr>
                <w:sz w:val="28"/>
                <w:szCs w:val="28"/>
              </w:rPr>
              <w:t xml:space="preserve">в составе </w:t>
            </w:r>
            <w:r w:rsidRPr="00805157">
              <w:rPr>
                <w:sz w:val="28"/>
                <w:szCs w:val="28"/>
              </w:rPr>
              <w:t>основной части, которая подлежит утверждению, и материалов по обоснованию документации.</w:t>
            </w:r>
          </w:p>
          <w:p w14:paraId="5B0EEA84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Текстовые материалы основной (утверждаемой) части проекта планировки территории должны содержать:</w:t>
            </w:r>
          </w:p>
          <w:p w14:paraId="6647BE2A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proofErr w:type="gramStart"/>
            <w:r w:rsidRPr="00805157">
              <w:rPr>
                <w:sz w:val="28"/>
                <w:szCs w:val="28"/>
              </w:rPr>
              <w:t>1)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805157">
              <w:rPr>
                <w:sz w:val="28"/>
                <w:szCs w:val="28"/>
              </w:rPr>
              <w:t xml:space="preserve"> </w:t>
            </w:r>
            <w:proofErr w:type="gramStart"/>
            <w:r w:rsidRPr="00805157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805157">
              <w:rPr>
                <w:sz w:val="28"/>
                <w:szCs w:val="28"/>
              </w:rPr>
              <w:t xml:space="preserve"> </w:t>
            </w:r>
            <w:proofErr w:type="gramStart"/>
            <w:r w:rsidRPr="00805157">
              <w:rPr>
                <w:sz w:val="28"/>
                <w:szCs w:val="28"/>
              </w:rPr>
              <w:t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805157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14:paraId="695746E5" w14:textId="3F9C2055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proofErr w:type="gramStart"/>
            <w:r w:rsidRPr="00805157">
              <w:rPr>
                <w:sz w:val="28"/>
                <w:szCs w:val="28"/>
              </w:rPr>
              <w:t>2) положения об очередности планируемого развития территории, содержащие этапы и максимальные сроки осуществления архитектурно-строительного проектирования, строительства, реконструкции объектов капитального строительства жилого, производственного, общественно-делового и иного назначения, необходимых для функционирования таких объектов и обеспечения жизнедеятельности человека объектов коммунальной, транспортной, социальной инфраструктур, иных объектов (в том числе зданий пожарных депо), сноса объектов капитального строительства (в случае необходимости сноса объектов капитального строительства, их</w:t>
            </w:r>
            <w:proofErr w:type="gramEnd"/>
            <w:r w:rsidRPr="00805157">
              <w:rPr>
                <w:sz w:val="28"/>
                <w:szCs w:val="28"/>
              </w:rPr>
              <w:t xml:space="preserve"> частей для строительства, реконструкции других объектов капитального строительства). </w:t>
            </w:r>
          </w:p>
          <w:p w14:paraId="54479FC6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Графические материалы основной (утверждаемой) части проекта планировки территории должны содержать:</w:t>
            </w:r>
          </w:p>
          <w:p w14:paraId="5AC94DF0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1) красные линии;</w:t>
            </w:r>
          </w:p>
          <w:p w14:paraId="77BFD650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2) границы существующих и планируемых элементов планировочной структуры;</w:t>
            </w:r>
          </w:p>
          <w:p w14:paraId="158DAB02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3) границы зон планируемого размещения объектов капитального строительства.</w:t>
            </w:r>
          </w:p>
          <w:p w14:paraId="76E62D96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Текстовые материалы по обоснованию проекта планировки территории должны содержать:</w:t>
            </w:r>
          </w:p>
          <w:p w14:paraId="776FC6BB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Федерации;</w:t>
            </w:r>
          </w:p>
          <w:p w14:paraId="1627DBDD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 xml:space="preserve">2) обоснование </w:t>
            </w:r>
            <w:proofErr w:type="gramStart"/>
            <w:r w:rsidRPr="00805157">
              <w:rPr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805157">
              <w:rPr>
                <w:sz w:val="28"/>
                <w:szCs w:val="28"/>
              </w:rPr>
              <w:t>;</w:t>
            </w:r>
          </w:p>
          <w:p w14:paraId="122A5E5E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proofErr w:type="gramStart"/>
            <w:r w:rsidRPr="00805157">
              <w:rPr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805157">
              <w:rPr>
                <w:sz w:val="28"/>
                <w:szCs w:val="28"/>
              </w:rPr>
              <w:t xml:space="preserve"> объектов для населения;</w:t>
            </w:r>
          </w:p>
          <w:p w14:paraId="7E72EEA6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14:paraId="1A3A407B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5) перечень мероприятий по охране окружающей среды;</w:t>
            </w:r>
          </w:p>
          <w:p w14:paraId="47C870FF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14:paraId="6FA3B6F5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7) иные материалы для обоснования положений по планировке территории.</w:t>
            </w:r>
          </w:p>
          <w:p w14:paraId="76AECA6A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Графические материалы по обоснованию проекта планировки территории должны содержать:</w:t>
            </w:r>
          </w:p>
          <w:p w14:paraId="2A9836A0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14:paraId="2C74642E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14:paraId="0833FA34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14:paraId="4D1246ED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14:paraId="5137C81D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14:paraId="6404EE74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6) варианты планировочных и (или) объемно 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14:paraId="2C3CC3E4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власти.</w:t>
            </w:r>
          </w:p>
          <w:p w14:paraId="3233BCF3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05E475D2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2888ADF7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1E86AACF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3) виды разрешенного использования образуемых земельных участков;</w:t>
            </w:r>
          </w:p>
          <w:p w14:paraId="2F538504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3222BEAC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</w:t>
            </w:r>
          </w:p>
          <w:p w14:paraId="79F9AC9D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7A6004F5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50AB2A02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51776412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6C46DC1B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7576E247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 или муниципальных нужд;</w:t>
            </w:r>
          </w:p>
          <w:p w14:paraId="6CD3C257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5) границы публичных сервитутов.</w:t>
            </w:r>
          </w:p>
          <w:p w14:paraId="12D369E3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Текстовые материалы по обоснованию проекта межевания территории должны содержать обоснование выбранных в проекте границ и площади предлагаемых к образованию земельных участков.</w:t>
            </w:r>
          </w:p>
          <w:p w14:paraId="5391DAB1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Графические материалы по обоснованию проекта межевания территории должны содержать:</w:t>
            </w:r>
          </w:p>
          <w:p w14:paraId="1D7F9F1B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1) границы существующих земельных участков;</w:t>
            </w:r>
          </w:p>
          <w:p w14:paraId="44078A60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2) границы зон с особыми условиями использования территорий;</w:t>
            </w:r>
          </w:p>
          <w:p w14:paraId="70546E39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72156961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4) границы особо охраняемых природных территорий;</w:t>
            </w:r>
          </w:p>
          <w:p w14:paraId="3A78A500" w14:textId="77777777" w:rsidR="00805157" w:rsidRPr="00805157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5) границы территорий объектов культурного наследия;</w:t>
            </w:r>
          </w:p>
          <w:p w14:paraId="27D86F83" w14:textId="415EC718" w:rsidR="00731597" w:rsidRPr="00EF3D18" w:rsidRDefault="00805157" w:rsidP="00805157">
            <w:pPr>
              <w:autoSpaceDE w:val="0"/>
              <w:spacing w:line="252" w:lineRule="auto"/>
              <w:rPr>
                <w:sz w:val="28"/>
                <w:szCs w:val="28"/>
              </w:rPr>
            </w:pPr>
            <w:r w:rsidRPr="00805157">
              <w:rPr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EF3D18" w:rsidRPr="00EF3D18" w14:paraId="0F58F52B" w14:textId="77777777" w:rsidTr="00303C29">
        <w:trPr>
          <w:trHeight w:val="62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EF3D18" w:rsidRDefault="00C06629" w:rsidP="00303C29">
            <w:pPr>
              <w:tabs>
                <w:tab w:val="left" w:pos="318"/>
              </w:tabs>
              <w:snapToGrid w:val="0"/>
              <w:spacing w:line="252" w:lineRule="auto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7ED35A32" w:rsidR="00C06629" w:rsidRPr="00EF3D18" w:rsidRDefault="00E8291C" w:rsidP="00303C29">
            <w:pPr>
              <w:tabs>
                <w:tab w:val="left" w:pos="318"/>
              </w:tabs>
              <w:snapToGrid w:val="0"/>
              <w:spacing w:line="252" w:lineRule="auto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Информация 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земельных участках (при наличии), включенных в границы территории, в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отношении которой планируется подготовка документации по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планировке территории, а также об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C011" w14:textId="5D8AB001" w:rsidR="00805157" w:rsidRPr="00EF3D18" w:rsidRDefault="00C631AA" w:rsidP="00805157">
            <w:pPr>
              <w:pStyle w:val="ConsNormal"/>
              <w:widowControl/>
              <w:snapToGrid w:val="0"/>
              <w:spacing w:line="252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3D18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303C2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>документации</w:t>
            </w:r>
            <w:r w:rsidRPr="00EF3D18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303C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3D18">
              <w:rPr>
                <w:rFonts w:ascii="Times New Roman" w:hAnsi="Times New Roman" w:cs="Times New Roman"/>
                <w:sz w:val="28"/>
                <w:szCs w:val="28"/>
              </w:rPr>
              <w:t>планировке территории, расположены следующие земельные участки: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36:34:0405036:80, 36:34:0405036:78, 36:34:0405036:316, 36:34:0405036:21, 36:34:0405036:8, 36:34:0405036:81, 36:34:0405036:58, 36:34:0405036:59, 36:34:0405036:55, 36:34:0405036:76, 36:34:0405036:77</w:t>
            </w:r>
            <w:proofErr w:type="gramEnd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36:34:0405036:50, 36:34:0405036:51, 36:34:0405036:52,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36:34:0405036:53, 36:34:0405036:54, 36:34:0405036:48,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36:34:0405036:49, 36:34:0405036:3, 36:34:0405036:9,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36:34:0405036:60, 36:34:0405036:2, 36:34:0405036:16,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36:34:0405036:22, 36:34:0405036:29, 36:34:0405036:12</w:t>
            </w:r>
            <w:proofErr w:type="gramEnd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36:34:0405036:24, 36:34:0405036:25, 36:34:0405036:26,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36:34:0405036:6, 36:34:0405036:7, 36:34:0405036:27,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36:34:0405036:46, 36:34:0405036:47, 36:34:0405036:38,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36:34:0405036:37, 36:34:0405036:1, 36:34:0405036:36,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36:34:0405036:45, 36:34:0405036:43, 36:34:0405036:18</w:t>
            </w:r>
            <w:proofErr w:type="gramEnd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36:34:0405036:34, 36:34:0405036:44, 36:34:0405036:33,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36:34:0405036:307, 36:34:0405036:14, 36:34:0405036:32, 36:34:0405036:306, 36:34:0405036:40, 36:34:0405036:31, 36:34:0405036:4,</w:t>
            </w:r>
            <w:r w:rsidR="00805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36:34:0405036:13, 36:34:0405036:39, 36:34:0405036:30,</w:t>
            </w:r>
            <w:r w:rsidR="005A57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36:34:0405036:11, 36:34:0405036:72</w:t>
            </w:r>
            <w:proofErr w:type="gramEnd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36:34:0405036:74,</w:t>
            </w:r>
            <w:r w:rsidR="005A57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36:34:0405036:66, 36:34:0405036:67, 36:34:0405036:68,</w:t>
            </w:r>
            <w:r w:rsidR="005A57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36:34:0405036:69, 36:34:0405036:70, 36:34:0405036:71,</w:t>
            </w:r>
            <w:r w:rsidR="005A57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157" w:rsidRPr="00805157">
              <w:rPr>
                <w:rFonts w:ascii="Times New Roman" w:hAnsi="Times New Roman" w:cs="Times New Roman"/>
                <w:sz w:val="28"/>
                <w:szCs w:val="28"/>
              </w:rPr>
              <w:t>36:34:0405036:64, 36:34:0405036:65, 36:34:0405036:331, 36:34:0405036:332, 36:34:0405036:15, 36:34:0405036:20, 36:34:0405036:5</w:t>
            </w:r>
            <w:r w:rsidR="005A57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A5701">
              <w:t xml:space="preserve"> </w:t>
            </w:r>
            <w:r w:rsidR="005A5701" w:rsidRPr="005A5701">
              <w:rPr>
                <w:rFonts w:ascii="Times New Roman" w:hAnsi="Times New Roman" w:cs="Times New Roman"/>
                <w:sz w:val="28"/>
                <w:szCs w:val="28"/>
              </w:rPr>
              <w:t>36:34:0405036:62</w:t>
            </w:r>
            <w:r w:rsidR="005A570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1F3F42CA" w14:textId="07CB3074" w:rsidR="00C06629" w:rsidRPr="00EF3D18" w:rsidRDefault="008B1625" w:rsidP="00303C29">
            <w:pPr>
              <w:widowControl w:val="0"/>
              <w:suppressAutoHyphens w:val="0"/>
              <w:spacing w:line="252" w:lineRule="auto"/>
              <w:rPr>
                <w:sz w:val="28"/>
                <w:szCs w:val="28"/>
                <w:highlight w:val="yellow"/>
              </w:rPr>
            </w:pPr>
            <w:r w:rsidRPr="00EF3D18">
              <w:rPr>
                <w:bCs/>
                <w:sz w:val="28"/>
                <w:szCs w:val="28"/>
                <w:lang w:eastAsia="en-US"/>
              </w:rPr>
              <w:t>Общая</w:t>
            </w:r>
            <w:r w:rsidR="008D4F9D" w:rsidRPr="00EF3D18">
              <w:rPr>
                <w:bCs/>
                <w:sz w:val="28"/>
                <w:szCs w:val="28"/>
                <w:lang w:eastAsia="en-US"/>
              </w:rPr>
              <w:t xml:space="preserve"> площадь </w:t>
            </w:r>
            <w:r w:rsidR="00F1719F" w:rsidRPr="00EF3D18">
              <w:rPr>
                <w:bCs/>
                <w:sz w:val="28"/>
                <w:szCs w:val="28"/>
                <w:lang w:eastAsia="en-US"/>
              </w:rPr>
              <w:t>территории, в отношении которой планируется подготовка документации по планировке территории</w:t>
            </w:r>
            <w:r w:rsidR="00D536C9" w:rsidRPr="00EF3D18">
              <w:rPr>
                <w:bCs/>
                <w:sz w:val="28"/>
                <w:szCs w:val="28"/>
                <w:lang w:eastAsia="en-US"/>
              </w:rPr>
              <w:t>,</w:t>
            </w:r>
            <w:r w:rsidR="00F1719F" w:rsidRPr="00EF3D18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8D4F9D" w:rsidRPr="00EF3D18">
              <w:rPr>
                <w:rFonts w:eastAsia="Calibri"/>
                <w:sz w:val="28"/>
                <w:szCs w:val="28"/>
                <w:lang w:eastAsia="en-US"/>
              </w:rPr>
              <w:t xml:space="preserve">– </w:t>
            </w:r>
            <w:r w:rsidR="005A5701">
              <w:rPr>
                <w:rFonts w:eastAsia="Calibri"/>
                <w:sz w:val="28"/>
                <w:szCs w:val="28"/>
                <w:lang w:eastAsia="en-US"/>
              </w:rPr>
              <w:t>6,9235</w:t>
            </w:r>
            <w:r w:rsidR="008D4F9D" w:rsidRPr="00EF3D18">
              <w:rPr>
                <w:rFonts w:eastAsia="Calibri"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EF3D18" w:rsidRPr="00EF3D18" w14:paraId="5663A8A9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7ADFE51F" w:rsidR="00C06629" w:rsidRPr="00EF3D18" w:rsidRDefault="00C06629" w:rsidP="0050225B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9BCA898" w:rsidR="00C06629" w:rsidRPr="00EF3D18" w:rsidRDefault="00E8291C" w:rsidP="0050225B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Цель подготовки документации по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14311" w14:textId="77777777" w:rsidR="001543AF" w:rsidRPr="00EF3D18" w:rsidRDefault="001543AF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1. Выделение элементов планировочной структуры территории и установление границы межевания территории.</w:t>
            </w:r>
          </w:p>
          <w:p w14:paraId="53A6AB55" w14:textId="63913A9D" w:rsidR="001543AF" w:rsidRPr="00EF3D18" w:rsidRDefault="001543AF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 xml:space="preserve">2. </w:t>
            </w:r>
            <w:r w:rsidR="005A5701" w:rsidRPr="005A5701">
              <w:rPr>
                <w:sz w:val="28"/>
                <w:szCs w:val="28"/>
              </w:rPr>
              <w:t>Определение местоположения границ образуемых и изменяемых земельных участков.</w:t>
            </w:r>
          </w:p>
          <w:p w14:paraId="39E662A8" w14:textId="466DB4A2" w:rsidR="00AA38BD" w:rsidRPr="00EF3D18" w:rsidRDefault="001543AF" w:rsidP="005A5701">
            <w:pPr>
              <w:rPr>
                <w:sz w:val="28"/>
                <w:szCs w:val="28"/>
                <w:highlight w:val="yellow"/>
              </w:rPr>
            </w:pPr>
            <w:r w:rsidRPr="00EF3D18">
              <w:rPr>
                <w:sz w:val="28"/>
                <w:szCs w:val="28"/>
              </w:rPr>
              <w:t xml:space="preserve">3. </w:t>
            </w:r>
            <w:proofErr w:type="gramStart"/>
            <w:r w:rsidR="005A5701" w:rsidRPr="005A5701">
              <w:rPr>
                <w:sz w:val="28"/>
                <w:szCs w:val="28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объектов капитального строительства, а также установление, изменение, отмена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="005A5701" w:rsidRPr="005A5701">
              <w:rPr>
                <w:sz w:val="28"/>
                <w:szCs w:val="28"/>
              </w:rPr>
              <w:t xml:space="preserve"> территории общего пользования</w:t>
            </w:r>
          </w:p>
        </w:tc>
      </w:tr>
      <w:tr w:rsidR="00EF3D18" w:rsidRPr="00EF3D18" w14:paraId="3C9C463D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32D3280A" w:rsidR="00D619BA" w:rsidRPr="00EF3D18" w:rsidRDefault="00421799" w:rsidP="0050225B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EF3D18" w:rsidRDefault="00D619BA" w:rsidP="0050225B">
            <w:pPr>
              <w:tabs>
                <w:tab w:val="left" w:pos="460"/>
              </w:tabs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Pr="00EF3D18" w:rsidRDefault="00D619BA" w:rsidP="0050225B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646F347E" w:rsidR="00D619BA" w:rsidRPr="00EF3D18" w:rsidRDefault="005A5701" w:rsidP="0050225B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</w:t>
            </w:r>
            <w:r w:rsidR="00650CB6" w:rsidRPr="00EF3D18">
              <w:rPr>
                <w:sz w:val="28"/>
                <w:szCs w:val="28"/>
              </w:rPr>
              <w:t xml:space="preserve"> месяцев со дня опубликования решения о</w:t>
            </w:r>
            <w:r w:rsidR="0050225B">
              <w:rPr>
                <w:sz w:val="28"/>
                <w:szCs w:val="28"/>
              </w:rPr>
              <w:t> </w:t>
            </w:r>
            <w:r w:rsidR="00650CB6" w:rsidRPr="00EF3D18">
              <w:rPr>
                <w:sz w:val="28"/>
                <w:szCs w:val="28"/>
              </w:rPr>
              <w:t>подготовке документации по планировке территории</w:t>
            </w:r>
          </w:p>
        </w:tc>
      </w:tr>
      <w:tr w:rsidR="00EF3D18" w:rsidRPr="00EF3D18" w14:paraId="4918CC3F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3314A531" w:rsidR="00D619BA" w:rsidRPr="00EF3D18" w:rsidRDefault="00421799" w:rsidP="0050225B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2A61A656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Требования к</w:t>
            </w:r>
            <w:r w:rsidR="00D536C9" w:rsidRPr="00EF3D18">
              <w:rPr>
                <w:sz w:val="28"/>
                <w:szCs w:val="28"/>
              </w:rPr>
              <w:t xml:space="preserve"> </w:t>
            </w:r>
            <w:r w:rsidRPr="00EF3D18">
              <w:rPr>
                <w:sz w:val="28"/>
                <w:szCs w:val="28"/>
              </w:rPr>
              <w:t>текстовой и</w:t>
            </w:r>
            <w:r w:rsidR="00D536C9" w:rsidRPr="00EF3D18">
              <w:rPr>
                <w:sz w:val="28"/>
                <w:szCs w:val="28"/>
              </w:rPr>
              <w:t xml:space="preserve"> </w:t>
            </w:r>
            <w:r w:rsidRPr="00EF3D18">
              <w:rPr>
                <w:sz w:val="28"/>
                <w:szCs w:val="28"/>
              </w:rPr>
              <w:t>графической частям документации</w:t>
            </w:r>
          </w:p>
          <w:p w14:paraId="657E14EA" w14:textId="59D32B25" w:rsidR="00D619BA" w:rsidRPr="00EF3D18" w:rsidRDefault="00D619BA" w:rsidP="0050225B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38DCDEE7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1. Текстовые материалы предоставляются:</w:t>
            </w:r>
          </w:p>
          <w:p w14:paraId="2F83A1FE" w14:textId="77777777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- на электронном носителе в формате, совместимом с </w:t>
            </w:r>
            <w:proofErr w:type="spellStart"/>
            <w:r w:rsidRPr="00EF3D18">
              <w:rPr>
                <w:sz w:val="28"/>
                <w:szCs w:val="28"/>
              </w:rPr>
              <w:t>Microsoft</w:t>
            </w:r>
            <w:proofErr w:type="spellEnd"/>
            <w:r w:rsidRPr="00EF3D18">
              <w:rPr>
                <w:sz w:val="28"/>
                <w:szCs w:val="28"/>
              </w:rPr>
              <w:t xml:space="preserve"> </w:t>
            </w:r>
            <w:proofErr w:type="spellStart"/>
            <w:r w:rsidRPr="00EF3D18">
              <w:rPr>
                <w:sz w:val="28"/>
                <w:szCs w:val="28"/>
              </w:rPr>
              <w:t>Office</w:t>
            </w:r>
            <w:proofErr w:type="spellEnd"/>
            <w:r w:rsidRPr="00EF3D18">
              <w:rPr>
                <w:sz w:val="28"/>
                <w:szCs w:val="28"/>
              </w:rPr>
              <w:t xml:space="preserve"> </w:t>
            </w:r>
            <w:proofErr w:type="spellStart"/>
            <w:r w:rsidRPr="00EF3D18">
              <w:rPr>
                <w:sz w:val="28"/>
                <w:szCs w:val="28"/>
              </w:rPr>
              <w:t>Word</w:t>
            </w:r>
            <w:proofErr w:type="spellEnd"/>
            <w:r w:rsidRPr="00EF3D18">
              <w:rPr>
                <w:sz w:val="28"/>
                <w:szCs w:val="28"/>
              </w:rPr>
              <w:t xml:space="preserve"> версии 2003 или выше, а также в формате XML;</w:t>
            </w:r>
          </w:p>
          <w:p w14:paraId="67EA53B4" w14:textId="77777777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- на бумажном носителе в брошюрованном виде на листах формата А</w:t>
            </w:r>
            <w:proofErr w:type="gramStart"/>
            <w:r w:rsidRPr="00EF3D18">
              <w:rPr>
                <w:sz w:val="28"/>
                <w:szCs w:val="28"/>
              </w:rPr>
              <w:t>4</w:t>
            </w:r>
            <w:proofErr w:type="gramEnd"/>
            <w:r w:rsidRPr="00EF3D18">
              <w:rPr>
                <w:sz w:val="28"/>
                <w:szCs w:val="28"/>
              </w:rPr>
              <w:t>.</w:t>
            </w:r>
          </w:p>
          <w:p w14:paraId="239A16B4" w14:textId="796407D4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2. Графические материалы предоставляются в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следующих форматах:</w:t>
            </w:r>
          </w:p>
          <w:p w14:paraId="6965C9F6" w14:textId="020EBD4D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EF3D18">
              <w:rPr>
                <w:sz w:val="28"/>
                <w:szCs w:val="28"/>
              </w:rPr>
              <w:t>dwg</w:t>
            </w:r>
            <w:proofErr w:type="spellEnd"/>
            <w:r w:rsidRPr="00EF3D18">
              <w:rPr>
                <w:sz w:val="28"/>
                <w:szCs w:val="28"/>
              </w:rPr>
              <w:t>, .</w:t>
            </w:r>
            <w:proofErr w:type="spellStart"/>
            <w:r w:rsidRPr="00EF3D18">
              <w:rPr>
                <w:sz w:val="28"/>
                <w:szCs w:val="28"/>
              </w:rPr>
              <w:t>shp</w:t>
            </w:r>
            <w:proofErr w:type="spellEnd"/>
            <w:r w:rsidRPr="00EF3D18">
              <w:rPr>
                <w:sz w:val="28"/>
                <w:szCs w:val="28"/>
              </w:rPr>
              <w:t>) в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системе координат МСК-36;</w:t>
            </w:r>
          </w:p>
          <w:p w14:paraId="0101C2A7" w14:textId="5EE0E775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 xml:space="preserve">- в растровом формате − JPG не менее 300 </w:t>
            </w:r>
            <w:proofErr w:type="spellStart"/>
            <w:r w:rsidRPr="00EF3D18">
              <w:rPr>
                <w:sz w:val="28"/>
                <w:szCs w:val="28"/>
              </w:rPr>
              <w:t>dpi</w:t>
            </w:r>
            <w:proofErr w:type="spellEnd"/>
            <w:r w:rsidRPr="00EF3D18">
              <w:rPr>
                <w:sz w:val="28"/>
                <w:szCs w:val="28"/>
              </w:rPr>
              <w:t>.</w:t>
            </w:r>
          </w:p>
          <w:p w14:paraId="3B9543CE" w14:textId="0D4F4461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3. Электронная версия текстовых и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графических материалов должна полностью соответствовать бумажному носителю и предоставляться на USB-FLASH-накопителе.</w:t>
            </w:r>
          </w:p>
          <w:p w14:paraId="68570615" w14:textId="030EE7E9" w:rsidR="00D619BA" w:rsidRPr="00EF3D18" w:rsidRDefault="00D619BA" w:rsidP="0050225B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4.</w:t>
            </w:r>
            <w:r w:rsidR="00165AD1" w:rsidRPr="00165AD1">
              <w:rPr>
                <w:sz w:val="28"/>
                <w:szCs w:val="28"/>
              </w:rPr>
              <w:t xml:space="preserve"> </w:t>
            </w:r>
            <w:proofErr w:type="gramStart"/>
            <w:r w:rsidR="00352E5A" w:rsidRPr="00352E5A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="00352E5A" w:rsidRPr="00352E5A">
              <w:rPr>
                <w:sz w:val="28"/>
                <w:szCs w:val="28"/>
              </w:rPr>
              <w:t xml:space="preserve"> GML, MID/MIF, SHP − согласно приложению к настоящему заданию.</w:t>
            </w:r>
          </w:p>
          <w:p w14:paraId="30F52EFF" w14:textId="17D1042C" w:rsidR="00D619BA" w:rsidRPr="00EF3D18" w:rsidRDefault="00D619BA" w:rsidP="00165AD1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 xml:space="preserve">5. </w:t>
            </w:r>
            <w:r w:rsidR="00165AD1">
              <w:rPr>
                <w:sz w:val="28"/>
                <w:szCs w:val="28"/>
              </w:rPr>
              <w:t>Документация по планировке территории после ее</w:t>
            </w:r>
            <w:r w:rsidRPr="00EF3D18">
              <w:rPr>
                <w:sz w:val="28"/>
                <w:szCs w:val="28"/>
              </w:rPr>
              <w:t xml:space="preserve"> утверждения предоставляется дополнительно в электронном виде в формате XML с обозначением границ существующих, изменяемых и (или) образуемых земельных участков, а также границ территории в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системе координат, используемой для</w:t>
            </w:r>
            <w:r w:rsidR="00D536C9" w:rsidRPr="00EF3D18">
              <w:rPr>
                <w:sz w:val="28"/>
                <w:szCs w:val="28"/>
              </w:rPr>
              <w:t> </w:t>
            </w:r>
            <w:r w:rsidRPr="00EF3D18">
              <w:rPr>
                <w:sz w:val="28"/>
                <w:szCs w:val="28"/>
              </w:rPr>
              <w:t>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EF3D18" w14:paraId="400A35B6" w14:textId="77777777" w:rsidTr="00D536C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652C5AB9" w:rsidR="00D619BA" w:rsidRPr="00EF3D18" w:rsidRDefault="00421799" w:rsidP="00EF3D18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EF3D18" w:rsidRDefault="00D619BA" w:rsidP="00EF3D18">
            <w:pPr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Pr="00EF3D18" w:rsidRDefault="00D619BA" w:rsidP="00EF3D18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0DE04E90" w:rsidR="00D619BA" w:rsidRPr="00EF3D18" w:rsidRDefault="00976AB9" w:rsidP="00EF3D18">
            <w:pPr>
              <w:rPr>
                <w:sz w:val="28"/>
                <w:szCs w:val="28"/>
              </w:rPr>
            </w:pPr>
            <w:r w:rsidRPr="00976AB9">
              <w:rPr>
                <w:sz w:val="28"/>
                <w:szCs w:val="28"/>
              </w:rPr>
              <w:t>Документация по планировке территории предоставляется в полном объеме на бумажном носителе в 2 экземплярах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14:paraId="1C74F964" w14:textId="77777777" w:rsidR="0087208A" w:rsidRPr="00EF3D18" w:rsidRDefault="0087208A" w:rsidP="00EF3D18">
      <w:pPr>
        <w:pStyle w:val="Standard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536C9" w:rsidRPr="00EF3D18" w14:paraId="66289434" w14:textId="77777777" w:rsidTr="00D536C9">
        <w:tc>
          <w:tcPr>
            <w:tcW w:w="4785" w:type="dxa"/>
          </w:tcPr>
          <w:p w14:paraId="4899B8DE" w14:textId="77777777" w:rsidR="00165AD1" w:rsidRDefault="00165AD1" w:rsidP="00EF3D18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0AF32004" w14:textId="77777777" w:rsidR="00D536C9" w:rsidRPr="00EF3D18" w:rsidRDefault="00D536C9" w:rsidP="00EF3D18">
            <w:pPr>
              <w:autoSpaceDE w:val="0"/>
              <w:jc w:val="both"/>
              <w:rPr>
                <w:sz w:val="28"/>
                <w:szCs w:val="28"/>
              </w:rPr>
            </w:pPr>
            <w:r w:rsidRPr="00EF3D18">
              <w:rPr>
                <w:sz w:val="28"/>
                <w:szCs w:val="28"/>
              </w:rPr>
              <w:t>Руководитель управления</w:t>
            </w:r>
          </w:p>
          <w:p w14:paraId="4362D992" w14:textId="2C1FEE21" w:rsidR="00D536C9" w:rsidRPr="00EF3D18" w:rsidRDefault="00D536C9" w:rsidP="00EF3D18">
            <w:pPr>
              <w:pStyle w:val="Standard"/>
              <w:jc w:val="both"/>
              <w:rPr>
                <w:rFonts w:eastAsia="Times New Roman" w:cs="Times New Roman"/>
                <w:kern w:val="0"/>
                <w:sz w:val="28"/>
                <w:szCs w:val="28"/>
                <w:highlight w:val="yellow"/>
                <w:lang w:eastAsia="ar-SA" w:bidi="ar-SA"/>
              </w:rPr>
            </w:pPr>
            <w:r w:rsidRPr="00EF3D18">
              <w:rPr>
                <w:rFonts w:cs="Times New Roman"/>
                <w:kern w:val="0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14:paraId="1F33F0D4" w14:textId="77777777" w:rsidR="00D536C9" w:rsidRPr="00EF3D18" w:rsidRDefault="00D536C9" w:rsidP="00EF3D18">
            <w:pPr>
              <w:autoSpaceDE w:val="0"/>
              <w:jc w:val="both"/>
              <w:rPr>
                <w:sz w:val="28"/>
                <w:szCs w:val="28"/>
              </w:rPr>
            </w:pPr>
          </w:p>
          <w:p w14:paraId="42418217" w14:textId="0626F28E" w:rsidR="00D536C9" w:rsidRPr="00EF3D18" w:rsidRDefault="00D536C9" w:rsidP="00EF3D18">
            <w:pPr>
              <w:autoSpaceDE w:val="0"/>
              <w:jc w:val="right"/>
              <w:rPr>
                <w:sz w:val="28"/>
                <w:szCs w:val="28"/>
                <w:highlight w:val="yellow"/>
                <w:lang w:eastAsia="ar-SA"/>
              </w:rPr>
            </w:pPr>
            <w:r w:rsidRPr="00EF3D18">
              <w:rPr>
                <w:sz w:val="28"/>
                <w:szCs w:val="28"/>
              </w:rPr>
              <w:t>Г.Ю. Чурсанов</w:t>
            </w:r>
          </w:p>
        </w:tc>
      </w:tr>
    </w:tbl>
    <w:p w14:paraId="4A8FDA66" w14:textId="77777777" w:rsidR="00D536C9" w:rsidRPr="00EF3D18" w:rsidRDefault="00D536C9" w:rsidP="00165AD1">
      <w:pPr>
        <w:pStyle w:val="Standard"/>
        <w:jc w:val="both"/>
        <w:rPr>
          <w:rFonts w:eastAsia="Times New Roman" w:cs="Times New Roman"/>
          <w:kern w:val="0"/>
          <w:sz w:val="28"/>
          <w:szCs w:val="28"/>
          <w:highlight w:val="yellow"/>
          <w:lang w:eastAsia="ar-SA" w:bidi="ar-SA"/>
        </w:rPr>
      </w:pPr>
    </w:p>
    <w:sectPr w:rsidR="00D536C9" w:rsidRPr="00EF3D18" w:rsidSect="00EF3D18">
      <w:headerReference w:type="default" r:id="rId9"/>
      <w:headerReference w:type="first" r:id="rId10"/>
      <w:pgSz w:w="11906" w:h="16838"/>
      <w:pgMar w:top="1134" w:right="567" w:bottom="1134" w:left="1985" w:header="425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D6871" w14:textId="77777777" w:rsidR="00CF6F45" w:rsidRDefault="00CF6F45">
      <w:r>
        <w:separator/>
      </w:r>
    </w:p>
  </w:endnote>
  <w:endnote w:type="continuationSeparator" w:id="0">
    <w:p w14:paraId="3A6F3BF2" w14:textId="77777777" w:rsidR="00CF6F45" w:rsidRDefault="00CF6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B9280" w14:textId="77777777" w:rsidR="00CF6F45" w:rsidRDefault="00CF6F45">
      <w:r>
        <w:separator/>
      </w:r>
    </w:p>
  </w:footnote>
  <w:footnote w:type="continuationSeparator" w:id="0">
    <w:p w14:paraId="2910D53E" w14:textId="77777777" w:rsidR="00CF6F45" w:rsidRDefault="00CF6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Pr="00303C29" w:rsidRDefault="00731597" w:rsidP="00303C29">
    <w:pPr>
      <w:pStyle w:val="ae"/>
      <w:jc w:val="center"/>
    </w:pPr>
    <w:r w:rsidRPr="00303C29">
      <w:fldChar w:fldCharType="begin"/>
    </w:r>
    <w:r w:rsidRPr="00303C29">
      <w:instrText xml:space="preserve"> PAGE   \* MERGEFORMAT </w:instrText>
    </w:r>
    <w:r w:rsidRPr="00303C29">
      <w:fldChar w:fldCharType="separate"/>
    </w:r>
    <w:r w:rsidR="00E62F29">
      <w:rPr>
        <w:noProof/>
      </w:rPr>
      <w:t>2</w:t>
    </w:r>
    <w:r w:rsidRPr="00303C29">
      <w:fldChar w:fldCharType="end"/>
    </w:r>
  </w:p>
  <w:p w14:paraId="65C9A2E9" w14:textId="77777777" w:rsidR="00731597" w:rsidRPr="00303C29" w:rsidRDefault="00731597" w:rsidP="00303C29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36046"/>
    <w:rsid w:val="00040EC1"/>
    <w:rsid w:val="00043880"/>
    <w:rsid w:val="00047C59"/>
    <w:rsid w:val="00054329"/>
    <w:rsid w:val="00056C85"/>
    <w:rsid w:val="00065DF5"/>
    <w:rsid w:val="00066039"/>
    <w:rsid w:val="00067BD5"/>
    <w:rsid w:val="00071E05"/>
    <w:rsid w:val="00072236"/>
    <w:rsid w:val="00073588"/>
    <w:rsid w:val="00074AD3"/>
    <w:rsid w:val="00075678"/>
    <w:rsid w:val="00082433"/>
    <w:rsid w:val="00087142"/>
    <w:rsid w:val="0009462E"/>
    <w:rsid w:val="00096FC4"/>
    <w:rsid w:val="000A003B"/>
    <w:rsid w:val="000B39D4"/>
    <w:rsid w:val="000B62C7"/>
    <w:rsid w:val="000C6738"/>
    <w:rsid w:val="000C7263"/>
    <w:rsid w:val="000D09E8"/>
    <w:rsid w:val="000E4D98"/>
    <w:rsid w:val="000E7A58"/>
    <w:rsid w:val="000F0DB1"/>
    <w:rsid w:val="000F6F24"/>
    <w:rsid w:val="000F7043"/>
    <w:rsid w:val="001039B0"/>
    <w:rsid w:val="00110614"/>
    <w:rsid w:val="001142A8"/>
    <w:rsid w:val="0012316D"/>
    <w:rsid w:val="001258B9"/>
    <w:rsid w:val="0013154C"/>
    <w:rsid w:val="00131EF3"/>
    <w:rsid w:val="00131F5B"/>
    <w:rsid w:val="0013321D"/>
    <w:rsid w:val="001448E1"/>
    <w:rsid w:val="00152245"/>
    <w:rsid w:val="001543AF"/>
    <w:rsid w:val="00163F30"/>
    <w:rsid w:val="001650B1"/>
    <w:rsid w:val="00165AD1"/>
    <w:rsid w:val="00170ED6"/>
    <w:rsid w:val="001724EB"/>
    <w:rsid w:val="0017665A"/>
    <w:rsid w:val="00182ECC"/>
    <w:rsid w:val="00186FCC"/>
    <w:rsid w:val="0019195A"/>
    <w:rsid w:val="001A5475"/>
    <w:rsid w:val="001B1365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722"/>
    <w:rsid w:val="002113E4"/>
    <w:rsid w:val="00212719"/>
    <w:rsid w:val="00213025"/>
    <w:rsid w:val="00217DF7"/>
    <w:rsid w:val="00223883"/>
    <w:rsid w:val="002277ED"/>
    <w:rsid w:val="00233409"/>
    <w:rsid w:val="00237647"/>
    <w:rsid w:val="00242FC6"/>
    <w:rsid w:val="00243BFA"/>
    <w:rsid w:val="002501B7"/>
    <w:rsid w:val="0026405A"/>
    <w:rsid w:val="00266028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C2E54"/>
    <w:rsid w:val="002D1E17"/>
    <w:rsid w:val="002D4029"/>
    <w:rsid w:val="002E42DA"/>
    <w:rsid w:val="002E5AF0"/>
    <w:rsid w:val="002E662D"/>
    <w:rsid w:val="002E6C25"/>
    <w:rsid w:val="00303C29"/>
    <w:rsid w:val="00305A47"/>
    <w:rsid w:val="0032128B"/>
    <w:rsid w:val="00323996"/>
    <w:rsid w:val="00326CEC"/>
    <w:rsid w:val="00326DBD"/>
    <w:rsid w:val="00326F27"/>
    <w:rsid w:val="00326FAA"/>
    <w:rsid w:val="003318E4"/>
    <w:rsid w:val="00332FB6"/>
    <w:rsid w:val="003361BF"/>
    <w:rsid w:val="0034421F"/>
    <w:rsid w:val="00346CCF"/>
    <w:rsid w:val="0035268A"/>
    <w:rsid w:val="00352E5A"/>
    <w:rsid w:val="00353B56"/>
    <w:rsid w:val="003756BF"/>
    <w:rsid w:val="00380D51"/>
    <w:rsid w:val="00380E19"/>
    <w:rsid w:val="003837F9"/>
    <w:rsid w:val="0038614F"/>
    <w:rsid w:val="00390234"/>
    <w:rsid w:val="00393C04"/>
    <w:rsid w:val="00393D5A"/>
    <w:rsid w:val="003963E2"/>
    <w:rsid w:val="003A085F"/>
    <w:rsid w:val="003A1C8D"/>
    <w:rsid w:val="003A21F3"/>
    <w:rsid w:val="003A33EA"/>
    <w:rsid w:val="003A4DDE"/>
    <w:rsid w:val="003B3A67"/>
    <w:rsid w:val="003B5F3D"/>
    <w:rsid w:val="003C05B5"/>
    <w:rsid w:val="003C3A63"/>
    <w:rsid w:val="003C3A95"/>
    <w:rsid w:val="003C69DE"/>
    <w:rsid w:val="003C78B3"/>
    <w:rsid w:val="003D0568"/>
    <w:rsid w:val="003D5D96"/>
    <w:rsid w:val="003D61A2"/>
    <w:rsid w:val="003E070E"/>
    <w:rsid w:val="003E4A5E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20628"/>
    <w:rsid w:val="00421799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70D4A"/>
    <w:rsid w:val="00471123"/>
    <w:rsid w:val="00471892"/>
    <w:rsid w:val="00471D09"/>
    <w:rsid w:val="00477D7C"/>
    <w:rsid w:val="00480DCC"/>
    <w:rsid w:val="00481A27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1166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225B"/>
    <w:rsid w:val="00504135"/>
    <w:rsid w:val="00506DC5"/>
    <w:rsid w:val="005137DC"/>
    <w:rsid w:val="00515265"/>
    <w:rsid w:val="005241C6"/>
    <w:rsid w:val="0054465D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9388A"/>
    <w:rsid w:val="00597605"/>
    <w:rsid w:val="005A3410"/>
    <w:rsid w:val="005A5701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1168D"/>
    <w:rsid w:val="006121EB"/>
    <w:rsid w:val="00614AC5"/>
    <w:rsid w:val="0061714A"/>
    <w:rsid w:val="00624829"/>
    <w:rsid w:val="0063265E"/>
    <w:rsid w:val="00634ED1"/>
    <w:rsid w:val="006361E9"/>
    <w:rsid w:val="006405F6"/>
    <w:rsid w:val="00642B68"/>
    <w:rsid w:val="00650293"/>
    <w:rsid w:val="00650CB6"/>
    <w:rsid w:val="006524CB"/>
    <w:rsid w:val="00657898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D2F2F"/>
    <w:rsid w:val="006E1DA7"/>
    <w:rsid w:val="00700B25"/>
    <w:rsid w:val="00707702"/>
    <w:rsid w:val="007121B1"/>
    <w:rsid w:val="00723A14"/>
    <w:rsid w:val="00723DF6"/>
    <w:rsid w:val="007251EB"/>
    <w:rsid w:val="007274B6"/>
    <w:rsid w:val="00727A18"/>
    <w:rsid w:val="007306D2"/>
    <w:rsid w:val="00731597"/>
    <w:rsid w:val="00733BF5"/>
    <w:rsid w:val="00734E7B"/>
    <w:rsid w:val="007432E3"/>
    <w:rsid w:val="0074684F"/>
    <w:rsid w:val="007525CD"/>
    <w:rsid w:val="00756BF4"/>
    <w:rsid w:val="0075716B"/>
    <w:rsid w:val="00760564"/>
    <w:rsid w:val="00761B14"/>
    <w:rsid w:val="007622B2"/>
    <w:rsid w:val="007660C2"/>
    <w:rsid w:val="007704C2"/>
    <w:rsid w:val="00770C90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C2988"/>
    <w:rsid w:val="007C6092"/>
    <w:rsid w:val="007D033D"/>
    <w:rsid w:val="007D051B"/>
    <w:rsid w:val="007D390C"/>
    <w:rsid w:val="007D3D8C"/>
    <w:rsid w:val="007D5E58"/>
    <w:rsid w:val="007D7D7F"/>
    <w:rsid w:val="007E7C5D"/>
    <w:rsid w:val="007E7F1F"/>
    <w:rsid w:val="00800EA0"/>
    <w:rsid w:val="008031DA"/>
    <w:rsid w:val="00805157"/>
    <w:rsid w:val="008061CB"/>
    <w:rsid w:val="008116D6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5B7"/>
    <w:rsid w:val="00845772"/>
    <w:rsid w:val="00846CB5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B2C9B"/>
    <w:rsid w:val="008D3457"/>
    <w:rsid w:val="008D44F4"/>
    <w:rsid w:val="008D4F9D"/>
    <w:rsid w:val="008D75B1"/>
    <w:rsid w:val="008D75F2"/>
    <w:rsid w:val="008E0305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3750D"/>
    <w:rsid w:val="00947135"/>
    <w:rsid w:val="00950D82"/>
    <w:rsid w:val="0096182D"/>
    <w:rsid w:val="0097466D"/>
    <w:rsid w:val="00976AB9"/>
    <w:rsid w:val="00992EA2"/>
    <w:rsid w:val="009A2217"/>
    <w:rsid w:val="009A2EEC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15268"/>
    <w:rsid w:val="00A16C81"/>
    <w:rsid w:val="00A22945"/>
    <w:rsid w:val="00A24C6F"/>
    <w:rsid w:val="00A31BAC"/>
    <w:rsid w:val="00A32CBB"/>
    <w:rsid w:val="00A351F8"/>
    <w:rsid w:val="00A44712"/>
    <w:rsid w:val="00A455C8"/>
    <w:rsid w:val="00A46B78"/>
    <w:rsid w:val="00A50F00"/>
    <w:rsid w:val="00A518B5"/>
    <w:rsid w:val="00A525D3"/>
    <w:rsid w:val="00A5664F"/>
    <w:rsid w:val="00A577E8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A38BD"/>
    <w:rsid w:val="00AB72D7"/>
    <w:rsid w:val="00AC03D2"/>
    <w:rsid w:val="00AC0721"/>
    <w:rsid w:val="00AC36AF"/>
    <w:rsid w:val="00AD0C97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82C6F"/>
    <w:rsid w:val="00B904F6"/>
    <w:rsid w:val="00BA03F2"/>
    <w:rsid w:val="00BA2F12"/>
    <w:rsid w:val="00BA646F"/>
    <w:rsid w:val="00BB59BA"/>
    <w:rsid w:val="00BB7E3A"/>
    <w:rsid w:val="00BC0F98"/>
    <w:rsid w:val="00BC6932"/>
    <w:rsid w:val="00BD2AA9"/>
    <w:rsid w:val="00BE18A6"/>
    <w:rsid w:val="00BE1E18"/>
    <w:rsid w:val="00BE2CF5"/>
    <w:rsid w:val="00BE52DF"/>
    <w:rsid w:val="00BF7116"/>
    <w:rsid w:val="00C038AA"/>
    <w:rsid w:val="00C06629"/>
    <w:rsid w:val="00C074E9"/>
    <w:rsid w:val="00C1229E"/>
    <w:rsid w:val="00C128F7"/>
    <w:rsid w:val="00C2025E"/>
    <w:rsid w:val="00C2266B"/>
    <w:rsid w:val="00C36A56"/>
    <w:rsid w:val="00C36DAA"/>
    <w:rsid w:val="00C37A77"/>
    <w:rsid w:val="00C420AA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76EDC"/>
    <w:rsid w:val="00C80516"/>
    <w:rsid w:val="00C80F00"/>
    <w:rsid w:val="00C81837"/>
    <w:rsid w:val="00C8316B"/>
    <w:rsid w:val="00C84265"/>
    <w:rsid w:val="00C86A50"/>
    <w:rsid w:val="00C93CDF"/>
    <w:rsid w:val="00C9783E"/>
    <w:rsid w:val="00CA16F2"/>
    <w:rsid w:val="00CA21B5"/>
    <w:rsid w:val="00CA6053"/>
    <w:rsid w:val="00CB0D11"/>
    <w:rsid w:val="00CB3C50"/>
    <w:rsid w:val="00CB46D4"/>
    <w:rsid w:val="00CC000D"/>
    <w:rsid w:val="00CE6B1E"/>
    <w:rsid w:val="00CE7080"/>
    <w:rsid w:val="00CF5E67"/>
    <w:rsid w:val="00CF62C8"/>
    <w:rsid w:val="00CF6F45"/>
    <w:rsid w:val="00CF7788"/>
    <w:rsid w:val="00D07D79"/>
    <w:rsid w:val="00D12BD6"/>
    <w:rsid w:val="00D13014"/>
    <w:rsid w:val="00D14A63"/>
    <w:rsid w:val="00D1751B"/>
    <w:rsid w:val="00D176CF"/>
    <w:rsid w:val="00D21E06"/>
    <w:rsid w:val="00D27E14"/>
    <w:rsid w:val="00D27E35"/>
    <w:rsid w:val="00D33E0D"/>
    <w:rsid w:val="00D3458E"/>
    <w:rsid w:val="00D4392F"/>
    <w:rsid w:val="00D452D0"/>
    <w:rsid w:val="00D457D3"/>
    <w:rsid w:val="00D46DDF"/>
    <w:rsid w:val="00D516ED"/>
    <w:rsid w:val="00D5234C"/>
    <w:rsid w:val="00D536C9"/>
    <w:rsid w:val="00D565CB"/>
    <w:rsid w:val="00D619BA"/>
    <w:rsid w:val="00D61AA9"/>
    <w:rsid w:val="00D70BB1"/>
    <w:rsid w:val="00D764C0"/>
    <w:rsid w:val="00D839F2"/>
    <w:rsid w:val="00D84803"/>
    <w:rsid w:val="00DA04FC"/>
    <w:rsid w:val="00DA1DBB"/>
    <w:rsid w:val="00DA4ADB"/>
    <w:rsid w:val="00DC3C29"/>
    <w:rsid w:val="00DD1DA3"/>
    <w:rsid w:val="00DD1DF0"/>
    <w:rsid w:val="00DD431A"/>
    <w:rsid w:val="00DD4F4D"/>
    <w:rsid w:val="00DD7720"/>
    <w:rsid w:val="00DE466B"/>
    <w:rsid w:val="00DF0679"/>
    <w:rsid w:val="00DF1B9E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0C63"/>
    <w:rsid w:val="00E4442E"/>
    <w:rsid w:val="00E46585"/>
    <w:rsid w:val="00E528FD"/>
    <w:rsid w:val="00E62F29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D88"/>
    <w:rsid w:val="00EA437C"/>
    <w:rsid w:val="00EB63B5"/>
    <w:rsid w:val="00EC61F7"/>
    <w:rsid w:val="00ED276D"/>
    <w:rsid w:val="00ED44A4"/>
    <w:rsid w:val="00ED6F0F"/>
    <w:rsid w:val="00EE25B5"/>
    <w:rsid w:val="00EE76D1"/>
    <w:rsid w:val="00EF3D18"/>
    <w:rsid w:val="00F03D2C"/>
    <w:rsid w:val="00F03D59"/>
    <w:rsid w:val="00F106BE"/>
    <w:rsid w:val="00F122D9"/>
    <w:rsid w:val="00F13CB6"/>
    <w:rsid w:val="00F1404A"/>
    <w:rsid w:val="00F14278"/>
    <w:rsid w:val="00F1719F"/>
    <w:rsid w:val="00F203BC"/>
    <w:rsid w:val="00F23130"/>
    <w:rsid w:val="00F248BA"/>
    <w:rsid w:val="00F323D2"/>
    <w:rsid w:val="00F42578"/>
    <w:rsid w:val="00F50E15"/>
    <w:rsid w:val="00F51980"/>
    <w:rsid w:val="00F57C99"/>
    <w:rsid w:val="00F636A6"/>
    <w:rsid w:val="00F66DBE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A3DC9"/>
    <w:rsid w:val="00FB30ED"/>
    <w:rsid w:val="00FC2B70"/>
    <w:rsid w:val="00FC4A9E"/>
    <w:rsid w:val="00FC7212"/>
    <w:rsid w:val="00FD4055"/>
    <w:rsid w:val="00FD5513"/>
    <w:rsid w:val="00FE2D7A"/>
    <w:rsid w:val="00FE5804"/>
    <w:rsid w:val="00FE5F46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  <w:style w:type="table" w:styleId="af7">
    <w:name w:val="Table Grid"/>
    <w:basedOn w:val="a1"/>
    <w:uiPriority w:val="59"/>
    <w:rsid w:val="00D53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0B8A-1050-4B77-ADBC-65F41E7CD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14305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2025-04-01T07:42:00Z</cp:lastPrinted>
  <dcterms:created xsi:type="dcterms:W3CDTF">2025-04-17T15:04:00Z</dcterms:created>
  <dcterms:modified xsi:type="dcterms:W3CDTF">2025-04-17T15:04:00Z</dcterms:modified>
</cp:coreProperties>
</file>