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проекта межевания территории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="00262830">
        <w:rPr>
          <w:rFonts w:ascii="Times New Roman" w:hAnsi="Times New Roman" w:cs="Times New Roman"/>
          <w:color w:val="auto"/>
          <w:sz w:val="28"/>
          <w:szCs w:val="28"/>
        </w:rPr>
        <w:t xml:space="preserve">в границах территориальной зоны </w:t>
      </w:r>
      <w:r w:rsidR="00262830">
        <w:rPr>
          <w:rFonts w:ascii="Times New Roman" w:hAnsi="Times New Roman" w:cs="Times New Roman"/>
          <w:color w:val="auto"/>
          <w:sz w:val="28"/>
          <w:szCs w:val="28"/>
        </w:rPr>
        <w:br/>
        <w:t>ЖИ-46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 в городском  округе город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005BBC" w:rsidRDefault="00005BBC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005BBC" w:rsidRDefault="00005BBC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005BBC" w:rsidRDefault="00005BBC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005BBC" w:rsidRPr="008B7CD5" w:rsidRDefault="00005BBC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95500" w:rsidRPr="00B820AA" w:rsidRDefault="002D4A70" w:rsidP="00005BBC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  <w:bookmarkStart w:id="5" w:name="_GoBack"/>
      <w:bookmarkEnd w:id="5"/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85CB2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85CB2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85CB2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85CB2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85CB2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B2" w:rsidRDefault="00185CB2">
      <w:r>
        <w:separator/>
      </w:r>
    </w:p>
  </w:endnote>
  <w:endnote w:type="continuationSeparator" w:id="0">
    <w:p w:rsidR="00185CB2" w:rsidRDefault="0018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B2" w:rsidRDefault="00185CB2">
      <w:pPr>
        <w:rPr>
          <w:sz w:val="12"/>
        </w:rPr>
      </w:pPr>
      <w:r>
        <w:separator/>
      </w:r>
    </w:p>
  </w:footnote>
  <w:footnote w:type="continuationSeparator" w:id="0">
    <w:p w:rsidR="00185CB2" w:rsidRDefault="00185CB2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005BBC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05BBC"/>
    <w:rsid w:val="00042D47"/>
    <w:rsid w:val="0008450F"/>
    <w:rsid w:val="001402A8"/>
    <w:rsid w:val="00185CB2"/>
    <w:rsid w:val="0019136F"/>
    <w:rsid w:val="00197A74"/>
    <w:rsid w:val="00262830"/>
    <w:rsid w:val="00295500"/>
    <w:rsid w:val="002D4A70"/>
    <w:rsid w:val="00315DC5"/>
    <w:rsid w:val="003255A4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8D5A87"/>
    <w:rsid w:val="009637CD"/>
    <w:rsid w:val="009D73F6"/>
    <w:rsid w:val="00A05460"/>
    <w:rsid w:val="00A65EFE"/>
    <w:rsid w:val="00A674DF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DD5EAF"/>
    <w:rsid w:val="00E2242D"/>
    <w:rsid w:val="00E52C47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D6C76-0291-4F4D-A6B5-9231AEDE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5</cp:revision>
  <cp:lastPrinted>2025-03-20T13:40:00Z</cp:lastPrinted>
  <dcterms:created xsi:type="dcterms:W3CDTF">2025-03-20T13:40:00Z</dcterms:created>
  <dcterms:modified xsi:type="dcterms:W3CDTF">2025-03-24T09:26:00Z</dcterms:modified>
  <dc:language>ru-RU</dc:language>
</cp:coreProperties>
</file>