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1E0F75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от</w:t>
            </w:r>
            <w:r w:rsidR="001E0F75">
              <w:rPr>
                <w:sz w:val="28"/>
                <w:szCs w:val="28"/>
              </w:rPr>
              <w:t xml:space="preserve"> 21.05.2025</w:t>
            </w:r>
            <w:r w:rsidRPr="00C875ED">
              <w:rPr>
                <w:sz w:val="28"/>
                <w:szCs w:val="28"/>
              </w:rPr>
              <w:t xml:space="preserve">   №</w:t>
            </w:r>
            <w:r w:rsidR="001E0F75">
              <w:rPr>
                <w:sz w:val="28"/>
                <w:szCs w:val="28"/>
              </w:rPr>
              <w:t xml:space="preserve"> 366-р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НА ТЕРРИТОРИИ </w:t>
      </w:r>
      <w:r w:rsidR="006745AF">
        <w:rPr>
          <w:b/>
          <w:sz w:val="28"/>
          <w:szCs w:val="28"/>
        </w:rPr>
        <w:t>СОВЕТСКО</w:t>
      </w:r>
      <w:r w:rsidR="006839B4">
        <w:rPr>
          <w:b/>
          <w:sz w:val="28"/>
          <w:szCs w:val="28"/>
        </w:rPr>
        <w:t>ГО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F15AFA" w:rsidRDefault="003F3271" w:rsidP="006745AF">
            <w:pPr>
              <w:jc w:val="both"/>
              <w:rPr>
                <w:sz w:val="28"/>
                <w:szCs w:val="28"/>
              </w:rPr>
            </w:pPr>
            <w:r w:rsidRPr="00F15AFA">
              <w:rPr>
                <w:sz w:val="28"/>
                <w:szCs w:val="28"/>
              </w:rPr>
              <w:t xml:space="preserve">Посадка </w:t>
            </w:r>
            <w:r w:rsidR="005A25F1" w:rsidRPr="00F15AFA">
              <w:rPr>
                <w:sz w:val="28"/>
                <w:szCs w:val="28"/>
              </w:rPr>
              <w:t xml:space="preserve"> саженцев деревьев на территории </w:t>
            </w:r>
            <w:r w:rsidR="006745AF" w:rsidRPr="00F15AFA">
              <w:rPr>
                <w:sz w:val="28"/>
                <w:szCs w:val="28"/>
              </w:rPr>
              <w:t>Советского</w:t>
            </w:r>
            <w:r w:rsidR="005A25F1" w:rsidRPr="00F15AFA">
              <w:rPr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841A68" w:rsidP="005302E7">
            <w:pPr>
              <w:jc w:val="center"/>
              <w:rPr>
                <w:b/>
              </w:rPr>
            </w:pPr>
            <w:r>
              <w:rPr>
                <w:b/>
              </w:rPr>
              <w:t>2 636,90</w:t>
            </w:r>
          </w:p>
        </w:tc>
        <w:tc>
          <w:tcPr>
            <w:tcW w:w="2127" w:type="dxa"/>
            <w:vAlign w:val="center"/>
          </w:tcPr>
          <w:p w:rsidR="00FE4426" w:rsidRPr="003F3271" w:rsidRDefault="00841A68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2 255,24</w:t>
            </w:r>
          </w:p>
        </w:tc>
        <w:tc>
          <w:tcPr>
            <w:tcW w:w="1701" w:type="dxa"/>
            <w:vAlign w:val="center"/>
          </w:tcPr>
          <w:p w:rsidR="00FE4426" w:rsidRPr="003F3271" w:rsidRDefault="00841A68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190,83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841A68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190,83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841A68" w:rsidRDefault="00841A68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77DA6" w:rsidRPr="00377DA6" w:rsidRDefault="00841A68" w:rsidP="00377DA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5E16AB">
        <w:rPr>
          <w:sz w:val="28"/>
          <w:szCs w:val="28"/>
        </w:rPr>
        <w:t xml:space="preserve"> </w:t>
      </w:r>
      <w:r w:rsidR="00451B20"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EB4" w:rsidRDefault="00C25EB4" w:rsidP="006159BA">
      <w:r>
        <w:separator/>
      </w:r>
    </w:p>
  </w:endnote>
  <w:endnote w:type="continuationSeparator" w:id="0">
    <w:p w:rsidR="00C25EB4" w:rsidRDefault="00C25EB4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EB4" w:rsidRDefault="00C25EB4" w:rsidP="006159BA">
      <w:r>
        <w:separator/>
      </w:r>
    </w:p>
  </w:footnote>
  <w:footnote w:type="continuationSeparator" w:id="0">
    <w:p w:rsidR="00C25EB4" w:rsidRDefault="00C25EB4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9407C"/>
    <w:rsid w:val="001A4D34"/>
    <w:rsid w:val="001A6F2C"/>
    <w:rsid w:val="001E0F75"/>
    <w:rsid w:val="001F6064"/>
    <w:rsid w:val="001F61A1"/>
    <w:rsid w:val="0020014B"/>
    <w:rsid w:val="00206A0C"/>
    <w:rsid w:val="00217588"/>
    <w:rsid w:val="002243FC"/>
    <w:rsid w:val="00225400"/>
    <w:rsid w:val="002278FE"/>
    <w:rsid w:val="002354E5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06B9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51A7B"/>
    <w:rsid w:val="006601A5"/>
    <w:rsid w:val="00661572"/>
    <w:rsid w:val="006745AF"/>
    <w:rsid w:val="006839B4"/>
    <w:rsid w:val="006A224D"/>
    <w:rsid w:val="006A672A"/>
    <w:rsid w:val="006B7C0E"/>
    <w:rsid w:val="006C689E"/>
    <w:rsid w:val="006D0231"/>
    <w:rsid w:val="006D1C02"/>
    <w:rsid w:val="006E7979"/>
    <w:rsid w:val="006F293D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F35E4"/>
    <w:rsid w:val="007F4EE6"/>
    <w:rsid w:val="00806831"/>
    <w:rsid w:val="00817B29"/>
    <w:rsid w:val="00821177"/>
    <w:rsid w:val="00821EBA"/>
    <w:rsid w:val="00833712"/>
    <w:rsid w:val="0083533E"/>
    <w:rsid w:val="00841A68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25EB4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F5A7E"/>
    <w:rsid w:val="00E006B3"/>
    <w:rsid w:val="00E0344F"/>
    <w:rsid w:val="00E16465"/>
    <w:rsid w:val="00E24414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15AFA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890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2025-05-06T08:10:00Z</cp:lastPrinted>
  <dcterms:created xsi:type="dcterms:W3CDTF">2025-05-23T12:18:00Z</dcterms:created>
  <dcterms:modified xsi:type="dcterms:W3CDTF">2025-05-23T12:18:00Z</dcterms:modified>
</cp:coreProperties>
</file>