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FB" w:rsidRDefault="004172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172FB" w:rsidRDefault="004172FB">
      <w:pPr>
        <w:pStyle w:val="ConsPlusNormal"/>
        <w:ind w:firstLine="540"/>
        <w:jc w:val="both"/>
        <w:outlineLvl w:val="0"/>
      </w:pPr>
    </w:p>
    <w:p w:rsidR="004172FB" w:rsidRDefault="004172FB">
      <w:pPr>
        <w:pStyle w:val="ConsPlusTitle"/>
        <w:jc w:val="center"/>
        <w:outlineLvl w:val="0"/>
      </w:pPr>
      <w:r>
        <w:t>АДМИНИСТРАЦИЯ ГОРОДСКОГО ОКРУГА ГОРОД ВОРОНЕЖ</w:t>
      </w:r>
    </w:p>
    <w:p w:rsidR="004172FB" w:rsidRDefault="004172FB">
      <w:pPr>
        <w:pStyle w:val="ConsPlusTitle"/>
        <w:jc w:val="center"/>
      </w:pPr>
    </w:p>
    <w:p w:rsidR="004172FB" w:rsidRDefault="004172FB">
      <w:pPr>
        <w:pStyle w:val="ConsPlusTitle"/>
        <w:jc w:val="center"/>
      </w:pPr>
      <w:r>
        <w:t>ПОСТАНОВЛЕНИЕ</w:t>
      </w:r>
    </w:p>
    <w:p w:rsidR="004172FB" w:rsidRDefault="004172FB">
      <w:pPr>
        <w:pStyle w:val="ConsPlusTitle"/>
        <w:jc w:val="center"/>
      </w:pPr>
      <w:r>
        <w:t>от 2 августа 2016 г. N 705</w:t>
      </w:r>
    </w:p>
    <w:p w:rsidR="004172FB" w:rsidRDefault="004172FB">
      <w:pPr>
        <w:pStyle w:val="ConsPlusTitle"/>
        <w:jc w:val="center"/>
      </w:pPr>
    </w:p>
    <w:p w:rsidR="004172FB" w:rsidRDefault="004172FB">
      <w:pPr>
        <w:pStyle w:val="ConsPlusTitle"/>
        <w:jc w:val="center"/>
      </w:pPr>
      <w:r>
        <w:t>ОБ УТВЕРЖДЕНИИ ТЕХНИЧЕСКИХ РЕКОМЕНДАЦИЙ К СИСТЕМАМ</w:t>
      </w:r>
    </w:p>
    <w:p w:rsidR="004172FB" w:rsidRDefault="004172FB">
      <w:pPr>
        <w:pStyle w:val="ConsPlusTitle"/>
        <w:jc w:val="center"/>
      </w:pPr>
      <w:r>
        <w:t>ВИДЕОНАБЛЮДЕНИЯ, СОСТАВУ И ТЕХНИЧЕСКИМ ХАРАКТЕРИСТИКАМ</w:t>
      </w:r>
    </w:p>
    <w:p w:rsidR="004172FB" w:rsidRDefault="004172FB">
      <w:pPr>
        <w:pStyle w:val="ConsPlusTitle"/>
        <w:jc w:val="center"/>
      </w:pPr>
      <w:r>
        <w:t>УСТАНАВЛИВАЕМОГО (ИНТЕГРИРУЕМОГО) ОБОРУДОВАНИЯ И ЛИНИЯМ</w:t>
      </w:r>
    </w:p>
    <w:p w:rsidR="004172FB" w:rsidRDefault="004172FB">
      <w:pPr>
        <w:pStyle w:val="ConsPlusTitle"/>
        <w:jc w:val="center"/>
      </w:pPr>
      <w:r>
        <w:t xml:space="preserve">СВЯЗИ, </w:t>
      </w:r>
      <w:proofErr w:type="gramStart"/>
      <w:r>
        <w:t>ИСПОЛЬЗУЕМЫМ</w:t>
      </w:r>
      <w:proofErr w:type="gramEnd"/>
      <w:r>
        <w:t xml:space="preserve"> ДЛЯ ПЕРЕДАЧИ ВИДЕОСИГНАЛА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  <w:r>
        <w:t>В целях развития на территории городского округа аппаратно-программного комплекса "Безопасный город", расширения сети камер видеонаблюдения и повышения уровня охраны общественного порядка администрация городского округа город Воронеж постановляет: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1. Утвердить прилагаемые Технические </w:t>
      </w:r>
      <w:hyperlink w:anchor="P32">
        <w:r>
          <w:rPr>
            <w:color w:val="0000FF"/>
          </w:rPr>
          <w:t>рекомендации</w:t>
        </w:r>
      </w:hyperlink>
      <w:r>
        <w:t xml:space="preserve"> к системам видеонаблюдения, составу и техническим характеристикам устанавливаемого (интегрируемого) оборудования и линиям связи, используемым для передачи видеосигнала.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2. Рекомендовать юридическим лицам независимо от формы собственности и индивидуальным предпринимателям, осуществляющим свою деятельность на территории городского округа город Воронеж: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2.1. При установке систем видеонаблюдения руководствоваться утверждаемыми Техническими </w:t>
      </w:r>
      <w:hyperlink w:anchor="P32">
        <w:r>
          <w:rPr>
            <w:color w:val="0000FF"/>
          </w:rPr>
          <w:t>рекомендациями</w:t>
        </w:r>
      </w:hyperlink>
      <w:r>
        <w:t xml:space="preserve"> к системам видеонаблюдения, составу и техническим характеристикам устанавливаемого (интегрируемого) оборудования и линиям связи, используемым для передачи видеосигнала.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2.2. При эксплуатации систем видеонаблюдения произвести их интеграцию в муниципальный центр видеомониторинга МКУ "Безопасный город".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руководителя аппарата Глазьева С.А.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4172FB" w:rsidRDefault="004172FB">
      <w:pPr>
        <w:pStyle w:val="ConsPlusNormal"/>
        <w:jc w:val="right"/>
      </w:pPr>
      <w:r>
        <w:t>округа город Воронеж</w:t>
      </w:r>
    </w:p>
    <w:p w:rsidR="004172FB" w:rsidRDefault="004172FB">
      <w:pPr>
        <w:pStyle w:val="ConsPlusNormal"/>
        <w:jc w:val="right"/>
      </w:pPr>
      <w:r>
        <w:t>А.В.ГУСЕВ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jc w:val="right"/>
        <w:outlineLvl w:val="0"/>
      </w:pPr>
      <w:r>
        <w:t>Утверждены</w:t>
      </w:r>
    </w:p>
    <w:p w:rsidR="004172FB" w:rsidRDefault="004172FB">
      <w:pPr>
        <w:pStyle w:val="ConsPlusNormal"/>
        <w:jc w:val="right"/>
      </w:pPr>
      <w:r>
        <w:t>постановлением</w:t>
      </w:r>
    </w:p>
    <w:p w:rsidR="004172FB" w:rsidRDefault="004172FB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4172FB" w:rsidRDefault="004172FB">
      <w:pPr>
        <w:pStyle w:val="ConsPlusNormal"/>
        <w:jc w:val="right"/>
      </w:pPr>
      <w:r>
        <w:t>округа город Воронеж</w:t>
      </w:r>
    </w:p>
    <w:p w:rsidR="004172FB" w:rsidRDefault="004172FB">
      <w:pPr>
        <w:pStyle w:val="ConsPlusNormal"/>
        <w:jc w:val="right"/>
      </w:pPr>
      <w:r>
        <w:t>от 02.08.2016 N 705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Title"/>
        <w:jc w:val="center"/>
      </w:pPr>
      <w:bookmarkStart w:id="0" w:name="P32"/>
      <w:bookmarkEnd w:id="0"/>
      <w:r>
        <w:t>ТЕХНИЧЕСКИЕ РЕКОМЕНДАЦИИ</w:t>
      </w:r>
    </w:p>
    <w:p w:rsidR="004172FB" w:rsidRDefault="004172FB">
      <w:pPr>
        <w:pStyle w:val="ConsPlusTitle"/>
        <w:jc w:val="center"/>
      </w:pPr>
      <w:r>
        <w:t>К СИСТЕМАМ ВИДЕОНАБЛЮДЕНИЯ, СОСТАВУ И ТЕХНИЧЕСКИМ</w:t>
      </w:r>
    </w:p>
    <w:p w:rsidR="004172FB" w:rsidRDefault="004172FB">
      <w:pPr>
        <w:pStyle w:val="ConsPlusTitle"/>
        <w:jc w:val="center"/>
      </w:pPr>
      <w:r>
        <w:t xml:space="preserve">ХАРАКТЕРИСТИКАМ </w:t>
      </w:r>
      <w:proofErr w:type="gramStart"/>
      <w:r>
        <w:t>УСТАНАВЛИВАЕМОГО</w:t>
      </w:r>
      <w:proofErr w:type="gramEnd"/>
      <w:r>
        <w:t xml:space="preserve"> (ИНТЕГРИРУЕМОГО)</w:t>
      </w:r>
    </w:p>
    <w:p w:rsidR="004172FB" w:rsidRDefault="004172FB">
      <w:pPr>
        <w:pStyle w:val="ConsPlusTitle"/>
        <w:jc w:val="center"/>
      </w:pPr>
      <w:r>
        <w:t>ОБОРУДОВАНИЯ И ЛИНИЯМ СВЯЗИ, ИСПОЛЬЗУЕМЫМ ДЛЯ ПЕРЕДАЧИ</w:t>
      </w:r>
    </w:p>
    <w:p w:rsidR="004172FB" w:rsidRDefault="004172FB">
      <w:pPr>
        <w:pStyle w:val="ConsPlusTitle"/>
        <w:jc w:val="center"/>
      </w:pPr>
      <w:r>
        <w:t>ВИДЕОСИГНАЛА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jc w:val="center"/>
        <w:outlineLvl w:val="1"/>
      </w:pPr>
      <w:r>
        <w:t>I. ОБЩИЕ ПОЛОЖЕНИЯ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  <w:proofErr w:type="gramStart"/>
      <w:r>
        <w:t>Технические рекомендации по системам видеонаблюдения, составу и техническим характеристикам устанавливаемого (интегрируемого) оборудования и линиям связи, используемым для передачи видеосигнала (далее - технические рекомендации), разработаны в целях обеспечения комплексного подхода к построению систем безопасности для соблюдения общественного порядка, обеспечения антитеррористической защищенности объектов и территорий с массовым пребыванием людей, снижения вероятности угроз природного, техногенного, криминального, террористического и иного характера на территории городского округа</w:t>
      </w:r>
      <w:proofErr w:type="gramEnd"/>
      <w:r>
        <w:t xml:space="preserve"> город Воронеж.</w:t>
      </w:r>
    </w:p>
    <w:p w:rsidR="004172FB" w:rsidRDefault="004172FB">
      <w:pPr>
        <w:pStyle w:val="ConsPlusNormal"/>
        <w:spacing w:before="220"/>
        <w:ind w:firstLine="540"/>
        <w:jc w:val="both"/>
      </w:pPr>
      <w:proofErr w:type="gramStart"/>
      <w:r>
        <w:t>В технических рекомендациях указаны рекомендуемые минимальные технические характеристики оборудования к создаваемым локальным системам видеонаблюдения (далее - ЛСВН) объектов (территорий) производственного и непроизводственного назначения и мест общего пользования с массовым пребыванием людей, типы и порядок подключения создаваемых и существующих на момент вступления настоящих Технических рекомендаций в силу ЛСВН к муниципальному центру мониторинга (далее - МЦМ) муниципального казенного учреждения городского округа город Воронеж "Безопасный</w:t>
      </w:r>
      <w:proofErr w:type="gramEnd"/>
      <w:r>
        <w:t xml:space="preserve"> город".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Под ЛСВН в настоящих Технических рекомендациях понимается аппаратно-программный комплекс видеонаблюдения, который при необходимости может быть подключен к МЦМ в качестве отдельной информационной подсистемы.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ЛСВН может создаваться юридическими лицами независимо от формы собственности и индивидуальными предпринимателями, осуществляющими свою деятельность на территории городского округа город Воронеж, на занимаемых или возводимых ими объектах капитального строительства или сооружениях, а также территориях с целью: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предупреждения нарушений общественного порядка, угрозы жизни, здоровья граждан, порчи имущества физических и юридических лиц, государственного и муниципального имущества;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инженерно-технического обеспечения безопасности, повышения надежности охраны социально значимых объектов;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эффективного мониторинга текущей обстановки и предоставления видеоинформации, обеспечивающей своевременность принятия управленческих решений;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обеспечения визуального контроля обстановки прилегающих территорий, а также особо проблемных зон, в том числе удаленных, находящихся в зоне прямой видимости;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предоставления необходимой информации правоохранительным органам, органам государственной власти и местного самоуправления, единой дежурно-диспетчерской службе городского округа город Воронеж в рамках решения ими задач по противодействию угрозам природного, техногенного, криминального, террористического и иного характера.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jc w:val="center"/>
        <w:outlineLvl w:val="1"/>
      </w:pPr>
      <w:r>
        <w:t>II. РЕКОМЕНДАЦИИ ПО СОСТАВУ И ТЕХНИЧЕСКИМ ХАРАКТЕРИСТИКАМ</w:t>
      </w:r>
    </w:p>
    <w:p w:rsidR="004172FB" w:rsidRDefault="004172FB">
      <w:pPr>
        <w:pStyle w:val="ConsPlusNormal"/>
        <w:jc w:val="center"/>
      </w:pPr>
      <w:r>
        <w:t xml:space="preserve">ОБОРУДОВАНИЯ </w:t>
      </w:r>
      <w:proofErr w:type="gramStart"/>
      <w:r>
        <w:t>СОЗДАВАЕМЫХ</w:t>
      </w:r>
      <w:proofErr w:type="gramEnd"/>
      <w:r>
        <w:t xml:space="preserve"> ЛСВН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  <w:r>
        <w:t>2.1. Стационарные камеры видеонаблюдения: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- разрешающая способность (эффективная поверхность матрицы) - не менее 1280 x 720 </w:t>
      </w:r>
      <w:hyperlink w:anchor="P87">
        <w:r>
          <w:rPr>
            <w:color w:val="0000FF"/>
          </w:rPr>
          <w:t>&lt;*&gt;</w:t>
        </w:r>
      </w:hyperlink>
      <w:r>
        <w:t>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объектив - варифокальный, мегапиксельный 2,8 - 12,0 мм;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lastRenderedPageBreak/>
        <w:t>- стандарт сжатия - H.264, MJPEG;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скорость преобразования видеосигнала - не менее 25 кадр/</w:t>
      </w:r>
      <w:proofErr w:type="gramStart"/>
      <w:r>
        <w:t>с</w:t>
      </w:r>
      <w:proofErr w:type="gramEnd"/>
      <w:r>
        <w:t>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поддерживаемые сетевые протоколы - TCP/IP, RTSP/RTP;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поддержка двойного потока (характеристики потоков настраиваются независимо);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поддержка протокола передачи данных ONVIF;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минимальная чувствительность - не более 0,05 лк;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инфракрасный фильтр - механический;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соотношение сигнал/шум - не хуже 50 дБ;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вид климатического исполнения - не хуже IP66 для камер видеонаблюдения уличного исполнения, не регламентируется для камер видеонаблюдения внутреннего исполнения;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энергопотребление - не более 30 Вт с нагревательным элементом кожуха;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рабочая температура - от -45</w:t>
      </w:r>
      <w:proofErr w:type="gramStart"/>
      <w:r>
        <w:t xml:space="preserve"> °С</w:t>
      </w:r>
      <w:proofErr w:type="gramEnd"/>
      <w:r>
        <w:t xml:space="preserve"> до +55 °С для камер видеонаблюдения уличного исполнения; от 0 °С до +55 °С для камер видеонаблюдения внутреннего исполнения;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инфракрасная подсветка - светодиодная с дальностью не менее 15 м (при отсутствии внешнего освещения, создающего освещенность горизонтальную на уровне земли или вертикальную на плоскости ограждения, стены не менее 0,5 лк в темное время суток), угол действия подсветки должен соответствовать углу обзора камеры.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2.2. Скоростные поворотные камеры видеонаблюдения: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- разрешающая способность (эффективная поверхность матрицы) - не менее 1280 x 720 </w:t>
      </w:r>
      <w:hyperlink w:anchor="P87">
        <w:r>
          <w:rPr>
            <w:color w:val="0000FF"/>
          </w:rPr>
          <w:t>&lt;*&gt;</w:t>
        </w:r>
      </w:hyperlink>
      <w:r>
        <w:t>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объектив - моторизированный варифокальный, мегапиксельный 2,8 - 12,0 мм;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стандарт сжатия - H.264, MJPEG;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скорость преобразования видеосигнала - не менее 25 кадр/</w:t>
      </w:r>
      <w:proofErr w:type="gramStart"/>
      <w:r>
        <w:t>с</w:t>
      </w:r>
      <w:proofErr w:type="gramEnd"/>
      <w:r>
        <w:t>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поддерживаемые сетевые протоколы - TCP/IP, RTSP/RTP;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поддержка двойного потока (характеристики потоков настраиваются независимо);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поддержка протокола передачи данных ONVIF;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минимальная чувствительность - не более 0,05 лк;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инфракрасный фильтр - механический;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соотношение сигнал/шум - не хуже 50 дБ;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угол обзора по горизонтали/вертикали - 360°/90° соответственно;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кратность оптического увеличения - не менее 20х;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кратность цифрового увеличения - не менее 12х;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точность позиционирования - не более 0,2°;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lastRenderedPageBreak/>
        <w:t>- вид климатического исполнения - не рекомендуется хуже IP66 для камер видеонаблюдения уличного исполнения, не регламентируется для камер видеонаблюдения внутреннего исполнения;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энергопотребление - не более 70 Вт с нагревательным элементом кожуха;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рабочая температура - от -45</w:t>
      </w:r>
      <w:proofErr w:type="gramStart"/>
      <w:r>
        <w:t xml:space="preserve"> °С</w:t>
      </w:r>
      <w:proofErr w:type="gramEnd"/>
      <w:r>
        <w:t xml:space="preserve"> до +55 °С для камер видеонаблюдения уличного исполнения; от 0 °С до +55 °С для камер видеонаблюдения внутреннего исполнения.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2FB" w:rsidRDefault="004172FB">
      <w:pPr>
        <w:pStyle w:val="ConsPlusNormal"/>
        <w:spacing w:before="220"/>
        <w:ind w:firstLine="540"/>
        <w:jc w:val="both"/>
      </w:pPr>
      <w:bookmarkStart w:id="1" w:name="P87"/>
      <w:bookmarkEnd w:id="1"/>
      <w:r>
        <w:t>&lt;*&gt; При установке в местах массового скопления людей рекомендуется применять камеры с разрешающей способностью (эффективной поверхностью матрицы) не менее 1920 х 1080.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  <w:r>
        <w:t>2.3. Активное сетевое оборудование: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2.3.1. Сетевое оборудование уличного исполнения: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управляемый коммутатор Gigabit Ethernet: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не менее 2 оптических портов Gigabit Ethernet 1000Base-X;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порты Fast Ethernet 10/100Base-Tx с разъемом RJ-45 (количество портов по потребности, но не менее 3);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возможность поддержки PoE или PoE+ по портам 10/100Base-Tx (по потребности);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поддержка Auto-MDIX для портов 10/100Base-Tx;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поддержка управления потоком IEEE 802.3x;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расстояние передачи - не менее 100 м по кабелю UTP (FTP) cat. 5e;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специализированный монтажный шкаф: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защита по питанию - 220</w:t>
      </w:r>
      <w:proofErr w:type="gramStart"/>
      <w:r>
        <w:t xml:space="preserve"> В</w:t>
      </w:r>
      <w:proofErr w:type="gramEnd"/>
      <w:r>
        <w:t>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устройство грозозащиты (при необходимости);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блоки питания коммутатора и камер видеонаблюдения (при необходимости);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устройство контроля "зависания" оборудования по портам Fast Ethernet 10/100Base-Tx (устройство удаленного управления питанием);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система поддержания собственного микроклимата;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вид климатического исполнения - не рекомендуется хуже IP66;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исполнение - антивандальное (наличие механического запорного устройства и датчиков охранной сигнализации с возможностью вывода на удаленный пункт охраны (при необходимости)).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2.3.2. Сетевое оборудование внутреннего исполнения (станционное оборудование):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пропускная способность матрицы коммутации - не менее 10 Гбит/</w:t>
      </w:r>
      <w:proofErr w:type="gramStart"/>
      <w:r>
        <w:t>с</w:t>
      </w:r>
      <w:proofErr w:type="gramEnd"/>
      <w:r>
        <w:t>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скорость обработки пакетов - не менее 4,6 млн. пакетов/</w:t>
      </w:r>
      <w:proofErr w:type="gramStart"/>
      <w:r>
        <w:t>с</w:t>
      </w:r>
      <w:proofErr w:type="gramEnd"/>
      <w:r>
        <w:t>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lastRenderedPageBreak/>
        <w:t>- не менее 2 комбинированных портов Gigabit Ethernet 1000Base-X с разъемом SFP;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поддержка Auto-MDIX для портов 10/100Base-Tx;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порты Fast Ethernet 10/100Base-Tx с разъемом RJ-45 (количество портов по потребности, но не менее 8);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поддержка управления потоком IEEE 802.3х;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расстояние передачи - не менее 100 м по кабелю UTP (FTP) cat.5e;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возможность удаленного управления.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2.4. Прикладное программное обеспечение ЛСВН: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наличие API, гарантирующего возможность разработки специализированного драйвера для МЦМ, гарантирующего необходимые функциональные возможности (просмотр/запись/управление/работа с архивом и т.п.);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обеспечение возможности отправки сообщений по HTTP/HTTPs (HTTP post);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организация удаленных рабочих мест с возможностью авторизированного доступа;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программное обеспечение, установленное на сервере, должно обеспечивать отправку служебных сообщений в формате SNMP v2 или SNMP v3;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при выборе программного обеспечения следует ориентироваться на использование типовых решений, как правило, российского производства.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2.5. Ведение архива видеоданных: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глубина архивации - не менее 30 суток (25 кадр/с) при максимально возможном разрешении в режиме 24/7;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архивация видеоинформации непрерывная, по команде пользователя либо по видеодетекции;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документирование и поиск видеоинформации по дате, времени и номеру видеокамеры;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автоудаление устаревшей видеоинформации;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- возможность предоставления доступа к архиву через удаленные рабочие места (для </w:t>
      </w:r>
      <w:proofErr w:type="gramStart"/>
      <w:r>
        <w:t>интегрированных</w:t>
      </w:r>
      <w:proofErr w:type="gramEnd"/>
      <w:r>
        <w:t xml:space="preserve"> ЛСВН при необходимости);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возможность увеличения объема архива видеоданных путем установки дополнительных жестких магнитных дисков повышенной емкости;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возможность конвертации видеоданных в общедоступные форматы данных (AVI и др.).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2.6. Средства отображения видеоинформации: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многооконный интерфейс с количеством отображаемых окон не более 16 на 19" мониторе, не более 20 - на 21" мониторе и не более 24 - на 23" мониторе;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отображение видеоизображения в режиме листинга не допускается;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возможность увеличения и уменьшения скорости просмотра видеоинформации;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lastRenderedPageBreak/>
        <w:t>- возможность покадрового просмотра видеоинформации;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возможность избирательного просмотра видеоинформации.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2.7. Линии связи (среда передачи данных).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Передача данных может осуществляться по различным линиям связи, в том числе беспроводным. Возможна организация передачи данных по арендованным каналам различных операторов связи. Система связи и передачи данных должна обеспечивать надежную маршрутизацию и коммутацию передаваемых данных по линиям связи, а также исключать задержки передачи и потерю данных, влияющих на качество передаваемой видеоинформации. Протоколы информационного обмена между компонентами ЛСВН должны быть открытыми. Линии связи и телекоммуникационные "стыки", используемые в ЛСВН, должны исключать возможности перехвата видеопотока, а также внесения в него изменений и должны соответствовать требованиям действующего законодательства в области защиты информации.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jc w:val="center"/>
        <w:outlineLvl w:val="1"/>
      </w:pPr>
      <w:r>
        <w:t xml:space="preserve">III. РЕКОМЕНДАЦИИ ПО ЛСВН, </w:t>
      </w:r>
      <w:proofErr w:type="gramStart"/>
      <w:r>
        <w:t>ПОДКЛЮЧАЕМЫМ</w:t>
      </w:r>
      <w:proofErr w:type="gramEnd"/>
    </w:p>
    <w:p w:rsidR="004172FB" w:rsidRDefault="004172FB">
      <w:pPr>
        <w:pStyle w:val="ConsPlusNormal"/>
        <w:jc w:val="center"/>
      </w:pPr>
      <w:r>
        <w:t>К МЦМ МКУ "БЕЗОПАСНЫЙ ГОРОД"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  <w:r>
        <w:t>3.1. Частота смены кадров - не менее 25 кадр/</w:t>
      </w:r>
      <w:proofErr w:type="gramStart"/>
      <w:r>
        <w:t>с</w:t>
      </w:r>
      <w:proofErr w:type="gramEnd"/>
      <w:r>
        <w:t>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3.2. Кодирование сигнала - протокол Н.264 с максимально возможным разрешением (не менее 1280 x 720), компрессия не более 30%.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3.3. Источник видеосигнала (видеокамеры) - существующие средства видеонаблюдения, съемка с максимально возможным разрешением (минимальное разрешение не менее 1280 x 720 или 520 ТВЛ).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3.4. Организация удаленного доступа к архивным видеоданным в случае обеспечения хранения видеоизображений на стороне подключаемой системы видеонаблюдения в режиме 24/7 (при наличии технической возможности).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3.5. Организация доступа к видеоданным в режиме реального времени.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3.6. Удаленное управление источниками видеоизображения в режиме реального времени (при наличии технической возможности).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3.7. Поддержка протоколов RTSP/RTP, TCP/IP.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3.8. Телекоммуникационный "стык": Ethernet 10GBASE-SR SMF или не более 2 канализированных 1000Base-SR SMF.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3.9. Наличие </w:t>
      </w:r>
      <w:proofErr w:type="gramStart"/>
      <w:r>
        <w:t>внешнего</w:t>
      </w:r>
      <w:proofErr w:type="gramEnd"/>
      <w:r>
        <w:t xml:space="preserve"> статического IP-адреса. IP-адрес может быть присвоен либо непосредственно сетевому видеорегистратору (видеосерверу), либо маршрутизатору (роутеру), через который осуществляется доступ в Интернет для видеорегистратора.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jc w:val="center"/>
        <w:outlineLvl w:val="1"/>
      </w:pPr>
      <w:r>
        <w:t>IV. РЕКОМЕНДАЦИИ ПО ЛСВН</w:t>
      </w:r>
    </w:p>
    <w:p w:rsidR="004172FB" w:rsidRDefault="004172FB">
      <w:pPr>
        <w:pStyle w:val="ConsPlusNormal"/>
        <w:jc w:val="center"/>
      </w:pPr>
      <w:r>
        <w:t>ПО ТИПАМ КОНТРОЛИРУЕМЫХ ОБЪЕКТОВ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  <w:r>
        <w:t>При определении рекомендаций по ЛСВН выделяются три основных типа контролируемых объектов: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4.1. Комплекс зданий и сооружений, отдельно стоящие объекты капитального строительства и сооружения производственного и непроизводственного назначения.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ЛСВН на объектах данного типа </w:t>
      </w:r>
      <w:proofErr w:type="gramStart"/>
      <w:r>
        <w:t>предназначена</w:t>
      </w:r>
      <w:proofErr w:type="gramEnd"/>
      <w:r>
        <w:t xml:space="preserve"> для контроля подступов к объекту, всех </w:t>
      </w:r>
      <w:r>
        <w:lastRenderedPageBreak/>
        <w:t>действующих входов и выходов объекта, определенных зон внутри объекта.</w:t>
      </w:r>
    </w:p>
    <w:p w:rsidR="004172FB" w:rsidRDefault="004172FB">
      <w:pPr>
        <w:pStyle w:val="ConsPlusNormal"/>
        <w:spacing w:before="220"/>
        <w:ind w:firstLine="540"/>
        <w:jc w:val="both"/>
      </w:pPr>
      <w:proofErr w:type="gramStart"/>
      <w:r>
        <w:t>Видеокамеры, предназначенные для контроля подступов к объекту, должны быть установлены в герметичных термокожухах с солнцезащитным козырьком на стене объекта или опорах освещения прилегающей территории на высоте не менее 4 м, протяженность участка видимости с горизонтальным углом обзора до 86° и фокусным расстоянием от 2,8 мм и более должна составлять не более 50 м, без мертвых зон.</w:t>
      </w:r>
      <w:proofErr w:type="gramEnd"/>
    </w:p>
    <w:p w:rsidR="004172FB" w:rsidRDefault="004172FB">
      <w:pPr>
        <w:pStyle w:val="ConsPlusNormal"/>
        <w:spacing w:before="220"/>
        <w:ind w:firstLine="540"/>
        <w:jc w:val="both"/>
      </w:pPr>
      <w:r>
        <w:t>Видеокамеры, предназначенные для обеспечения контроля входящих и выходящих посетителей, устанавливаются на всех действующих входах и выходах объекта, на главный вход объекта устанавливаются не менее двух видеокамер.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Видеокамеры, предназначенные для контроля обстановки внутри объекта, определяет собственник.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4.2. Объекты и территории социального, культурного, спортивного назначения и транспортной инфраструктуры.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ЛСВН на объектах данного типа </w:t>
      </w:r>
      <w:proofErr w:type="gramStart"/>
      <w:r>
        <w:t>предназначена</w:t>
      </w:r>
      <w:proofErr w:type="gramEnd"/>
      <w:r>
        <w:t xml:space="preserve"> для контроля подступов к объекту и обстановки на территории объекта, всех действующих входов и выходов объекта.</w:t>
      </w:r>
    </w:p>
    <w:p w:rsidR="004172FB" w:rsidRDefault="004172FB">
      <w:pPr>
        <w:pStyle w:val="ConsPlusNormal"/>
        <w:spacing w:before="220"/>
        <w:ind w:firstLine="540"/>
        <w:jc w:val="both"/>
      </w:pPr>
      <w:proofErr w:type="gramStart"/>
      <w:r>
        <w:t>Видеокамеры, предназначенные для контроля подступов к объекту, должны быть установлены в герметичных термокожухах с солнцезащитным козырьком на стене объекта или опорах освещения прилегающей территории на высоте не менее 4 м, протяженность участка видимости с горизонтальным углом обзора до 86° и фокусным расстоянием от 2,8 мм и более должна составлять не более 50 м, без мертвых зон.</w:t>
      </w:r>
      <w:proofErr w:type="gramEnd"/>
    </w:p>
    <w:p w:rsidR="004172FB" w:rsidRDefault="004172FB">
      <w:pPr>
        <w:pStyle w:val="ConsPlusNormal"/>
        <w:spacing w:before="220"/>
        <w:ind w:firstLine="540"/>
        <w:jc w:val="both"/>
      </w:pPr>
      <w:r>
        <w:t>Видеокамеры, предназначенные для контроля обстановки на территории объекта, предпочтительно устанавливать на конструкциях освещения объекта. Протяженность участка видимости должна составлять не более 75 м.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Видеокамеры, предназначенные для обеспечения контроля входящих и выходящих посетителей, устанавливаются на всех действующих входах и выходах (не менее двух видеокамер на вход/выход).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4.3. Прочие общественные места пребывания людей.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ЛСВН на объектах данного типа </w:t>
      </w:r>
      <w:proofErr w:type="gramStart"/>
      <w:r>
        <w:t>предназначена</w:t>
      </w:r>
      <w:proofErr w:type="gramEnd"/>
      <w:r>
        <w:t xml:space="preserve"> для контроля обстановки на конкретном участке наблюдения.</w:t>
      </w:r>
    </w:p>
    <w:p w:rsidR="004172FB" w:rsidRDefault="004172FB">
      <w:pPr>
        <w:pStyle w:val="ConsPlusNormal"/>
        <w:spacing w:before="220"/>
        <w:ind w:firstLine="540"/>
        <w:jc w:val="both"/>
      </w:pPr>
      <w:proofErr w:type="gramStart"/>
      <w:r>
        <w:t>Видеокамеры должны быть установлены в герметичных термокожухах с солнцезащитным козырьком, предпочтительно на конструкциях освещения объекта.</w:t>
      </w:r>
      <w:proofErr w:type="gramEnd"/>
      <w:r>
        <w:t xml:space="preserve"> Протяженность участка видимости должна составлять не более 75 м.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jc w:val="center"/>
        <w:outlineLvl w:val="1"/>
      </w:pPr>
      <w:r>
        <w:t>V. РЕКОМЕНДАЦИИ ПО НАДЕЖНОСТИ И УСЛОВИЯМ ЭКСПЛУАТАЦИИ ЛСВН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  <w:r>
        <w:t>5.1. Рекомендации по надежности.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Уровень надежности ЛСВН должен достигаться за счет согласованного применения организационных, организационно-технических и программно-аппаратных средств, реализуемых как на этапе рабочего проектирования и развертывания ЛСВН, так и на этапе ее эксплуатации. Аппаратно-программные элементы должны удовлетворять условию круглосуточной работы, а также иметь возможность восстановления в случаях сбоев.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Срок службы элементов ЛСВН должен составлять не менее 10 лет для металлических конструкций и 7 лет - для технических средств, при этом допускается замена узлов и элементов, </w:t>
      </w:r>
      <w:r>
        <w:lastRenderedPageBreak/>
        <w:t>срок службы которых менее 7 лет, из состава запасных частей и принадлежностей.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Построение ЛСВН должно осуществляться с учетом общестроительных норм, правил пожарной безопасности, требований по технике безопасности и правил устройства электроустановок.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Аппаратная составляющая ЛСВН должна нормально функционировать в части воздействия климатических факторов внешней среды и соответствовать требованиям </w:t>
      </w:r>
      <w:hyperlink r:id="rId6">
        <w:r>
          <w:rPr>
            <w:color w:val="0000FF"/>
          </w:rPr>
          <w:t>ГОСТ 15150-69</w:t>
        </w:r>
      </w:hyperlink>
      <w:r>
        <w:t>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Оборудование ЛСВН должно соответствовать требованиям по стойкости, устойчивости и прочности к внешним воздействиям (среде применения) в соответствии с </w:t>
      </w:r>
      <w:hyperlink r:id="rId7">
        <w:r>
          <w:rPr>
            <w:color w:val="0000FF"/>
          </w:rPr>
          <w:t>ГОСТ 15543.1-89</w:t>
        </w:r>
      </w:hyperlink>
      <w:r>
        <w:t>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ЛСВН должна удовлетворять общим требованиям безопасности </w:t>
      </w:r>
      <w:hyperlink r:id="rId8">
        <w:r>
          <w:rPr>
            <w:color w:val="0000FF"/>
          </w:rPr>
          <w:t>ГОСТ 12.2.007.0-75</w:t>
        </w:r>
      </w:hyperlink>
      <w:r>
        <w:t>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5.2. Рекомендации по условиям эксплуатации.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Условия эксплуатации ЛСВН должны обеспечивать возможность круглосуточной работы.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Эксплуатация ЛСВН должна предусматривать периодические остановки отдельных подсистем для проведения профилактических работ через каждые 10000 часов работы без остановки ЛСВН в целом и без нарушения целостности оборудования и данных.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Для размещения технических средств ЛСВН должны использоваться специализированные технологические помещения, пригодные для размещения средств видеофиксации и сре</w:t>
      </w:r>
      <w:proofErr w:type="gramStart"/>
      <w:r>
        <w:t>дств св</w:t>
      </w:r>
      <w:proofErr w:type="gramEnd"/>
      <w:r>
        <w:t>язи.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В ЛСВН должна быть обеспечена сохранность информации в случае наступления следующих обстоятельств: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несанкционированного выключения (потеря электропитания и/или некачественное электропитание) технических устройств;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несанкционированной перезагрузки программно-аппаратных средств системы видеофиксации;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несанкционированного прекращения работы ("зависание") программных средств.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Блоки электропитания, порты передачи данных сетевых вычислительных устройств ЛСВН должны быть оснащены устройствами защиты от перенапряжений в соответствии со стандартами на построение сетей IEEE 802.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ЛСВН должна иметь модульную структуру, обеспечивающую возможность расширения и модернизации без нарушения режимов функционирования.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jc w:val="center"/>
        <w:outlineLvl w:val="1"/>
      </w:pPr>
      <w:r>
        <w:t>VI. ТИПЫ И ПОРЯДОК ПОДКЛЮЧЕНИЯ ЛСВН К МЦМ</w:t>
      </w:r>
    </w:p>
    <w:p w:rsidR="004172FB" w:rsidRDefault="004172FB">
      <w:pPr>
        <w:pStyle w:val="ConsPlusNormal"/>
        <w:jc w:val="center"/>
      </w:pPr>
      <w:r>
        <w:t>МКУ "БЕЗОПАСНЫЙ ГОРОД"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  <w:r>
        <w:t>В целях унификации подключения ЛСВН к МЦМ выделяются три типа подключения.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6.1. Тип подключения N 1.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МЦМ подключается к существующим средствам видеонаблюдения и работает параллельно с ЛСВН. Клиентское программное обеспечение для МЦМ и ЛСВН функционирует независимо.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Для типа подключения N 1 собственнику ЛСВН необходимо предоставить </w:t>
      </w:r>
      <w:proofErr w:type="gramStart"/>
      <w:r>
        <w:t>дублированный</w:t>
      </w:r>
      <w:proofErr w:type="gramEnd"/>
      <w:r>
        <w:t xml:space="preserve"> видеопоток, соответствующий техническим рекомендациям МЦМ, от средства видеонаблюдения ЛСВН до МЦМ в следующем порядке.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lastRenderedPageBreak/>
        <w:t>Для аналоговых камер: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при малом количестве камер (до 32) или наличии неуправляемого коммутатора аналоговых камер с применением разделителя сигнала устанавливается совместимое с МЦМ устройство кодирования видеосигнала (далее - УКВС) и организовываются каналы связи от средств видеоизображения до МЦМ;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при наличии управляемого коммутатора аналоговых камер организуется подключение совместимого с МЦМ УКВС к матрице коммутации, обеспечивающее через аналоговый порт управление коммутатором для переключения видеоизображений с аналоговых камер.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Для цифровых камер: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с применением функции двойного потока организовывается передача видеопотоков в МЦМ;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при наличии технической возможности и целесообразности обеспечение доступа к архивам видеоинформации ЛСВН.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6.2. Тип подключения N 2.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МЦМ интегрируется с видеосерверами ЛСВН. МЦМ использует видеосерверы ЛСВН как УКВС. Клиентское программное обеспечение для МЦМ и ЛСВН функционирует независимо.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Для организации типа подключений N 2 необходимо выполнение следующих условий: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ЛСВН должна иметь API, обеспечивающий возможность разработки специализированного драйвера для видеосервера МЦМ, обеспечивающего необходимые функциональные возможности (просмотр/запись/управление/работа с архивом и т.п.);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ЛСВН должна обеспечивать возможность отправки сообщений по HTTP/HTTPs (HTTP post);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- ЛСВН должна обеспечивать отправку служебных сообщений в формате SNMP v2 или SNMP v3.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6.3. Тип подключения N 3.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В рамках типа подключений N 3 МЦМ заменяет видеосерверы ЛСВН. Клиентское программное обеспечение для ЛСВН </w:t>
      </w:r>
      <w:proofErr w:type="gramStart"/>
      <w:r>
        <w:t>заменяется на клиентское</w:t>
      </w:r>
      <w:proofErr w:type="gramEnd"/>
      <w:r>
        <w:t xml:space="preserve"> программное обеспечение МЦМ.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Для организации типа подключений N 3 собственнику ЛСВН необходимо произвести операции, предусмотренные типом подключения N 1.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6.4. Порядок подключения ЛСВН к МЦМ.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>Порядок подключения ЛСВН к МЦМ определяется соглашениями об информационном взаимодействии.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jc w:val="center"/>
        <w:outlineLvl w:val="1"/>
      </w:pPr>
      <w:r>
        <w:t>VII. ПЕРЕЧЕНЬ НОРМАТИВНЫХ ДОКУМЕНТОВ, ИСПОЛЬЗУЕМЫХ</w:t>
      </w:r>
    </w:p>
    <w:p w:rsidR="004172FB" w:rsidRDefault="004172FB">
      <w:pPr>
        <w:pStyle w:val="ConsPlusNormal"/>
        <w:jc w:val="center"/>
      </w:pPr>
      <w:r>
        <w:t>ПРИ РАЗРАБОТКЕ ТЕХНИЧЕСКИХ РЕКОМЕНДАЦИЙ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  <w:r>
        <w:t xml:space="preserve">7.1. </w:t>
      </w:r>
      <w:hyperlink r:id="rId9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ИСО/МЭК 19794-5-2006</w:t>
        </w:r>
      </w:hyperlink>
      <w:r>
        <w:t>. Требования к формату записи данных для основного типа изображения лица.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7.2.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25.03.2015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</w:t>
      </w:r>
      <w:r>
        <w:lastRenderedPageBreak/>
        <w:t>безопасности таких мест и объектов (территорий)".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7.3. </w:t>
      </w:r>
      <w:hyperlink r:id="rId11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 Общие требования проектирования".</w:t>
      </w:r>
    </w:p>
    <w:p w:rsidR="004172FB" w:rsidRDefault="004172FB">
      <w:pPr>
        <w:pStyle w:val="ConsPlusNormal"/>
        <w:spacing w:before="220"/>
        <w:ind w:firstLine="540"/>
        <w:jc w:val="both"/>
      </w:pPr>
      <w:r>
        <w:t xml:space="preserve">7.4. </w:t>
      </w:r>
      <w:hyperlink r:id="rId12">
        <w:r>
          <w:rPr>
            <w:color w:val="0000FF"/>
          </w:rPr>
          <w:t>СанПиН 2.2.2/2.4.1340-03</w:t>
        </w:r>
      </w:hyperlink>
      <w:r>
        <w:t xml:space="preserve"> "Гигиенические требования к персональным электронно-вычислительным машинам и организации работы".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jc w:val="right"/>
      </w:pPr>
      <w:r>
        <w:t>Руководитель управления по работе</w:t>
      </w:r>
    </w:p>
    <w:p w:rsidR="004172FB" w:rsidRDefault="004172FB">
      <w:pPr>
        <w:pStyle w:val="ConsPlusNormal"/>
        <w:jc w:val="right"/>
      </w:pPr>
      <w:r>
        <w:t>с административными органами и структурами</w:t>
      </w:r>
    </w:p>
    <w:p w:rsidR="004172FB" w:rsidRDefault="004172FB">
      <w:pPr>
        <w:pStyle w:val="ConsPlusNormal"/>
        <w:jc w:val="right"/>
      </w:pPr>
      <w:r>
        <w:t>гражданского общества</w:t>
      </w:r>
    </w:p>
    <w:p w:rsidR="004172FB" w:rsidRDefault="004172FB">
      <w:pPr>
        <w:pStyle w:val="ConsPlusNormal"/>
        <w:jc w:val="right"/>
      </w:pPr>
      <w:r>
        <w:t>Е.Г.ГУДКОВА</w:t>
      </w: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ind w:firstLine="540"/>
        <w:jc w:val="both"/>
      </w:pPr>
    </w:p>
    <w:p w:rsidR="004172FB" w:rsidRDefault="004172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062" w:rsidRDefault="00B31062">
      <w:bookmarkStart w:id="2" w:name="_GoBack"/>
      <w:bookmarkEnd w:id="2"/>
    </w:p>
    <w:sectPr w:rsidR="00B31062" w:rsidSect="0014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FB"/>
    <w:rsid w:val="004172FB"/>
    <w:rsid w:val="00B3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2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72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72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2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72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72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79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OTN&amp;n=9121" TargetMode="External"/><Relationship Id="rId12" Type="http://schemas.openxmlformats.org/officeDocument/2006/relationships/hyperlink" Target="https://login.consultant.ru/link/?req=doc&amp;base=LAW&amp;n=203301&amp;dst=1000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TR&amp;n=16194" TargetMode="External"/><Relationship Id="rId11" Type="http://schemas.openxmlformats.org/officeDocument/2006/relationships/hyperlink" Target="https://login.consultant.ru/link/?req=doc&amp;base=LAW&amp;n=117961&amp;dst=100003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0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OTN&amp;n=266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Денисенко</cp:lastModifiedBy>
  <cp:revision>1</cp:revision>
  <dcterms:created xsi:type="dcterms:W3CDTF">2025-07-14T08:32:00Z</dcterms:created>
  <dcterms:modified xsi:type="dcterms:W3CDTF">2025-07-14T08:34:00Z</dcterms:modified>
</cp:coreProperties>
</file>